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7F" w:rsidRDefault="006458AA">
      <w:pPr>
        <w:jc w:val="center"/>
        <w:rPr>
          <w:rFonts w:ascii="方正小标宋简体" w:eastAsia="方正小标宋简体" w:hAnsi="方正小标宋简体" w:cs="方正小标宋简体"/>
          <w:color w:val="000000"/>
          <w:kern w:val="0"/>
          <w:sz w:val="32"/>
          <w:szCs w:val="32"/>
          <w:lang w:bidi="ar"/>
        </w:rPr>
      </w:pPr>
      <w:r>
        <w:rPr>
          <w:rFonts w:ascii="方正小标宋简体" w:eastAsia="方正小标宋简体" w:hAnsi="方正小标宋简体" w:cs="方正小标宋简体" w:hint="eastAsia"/>
          <w:color w:val="000000"/>
          <w:kern w:val="0"/>
          <w:sz w:val="32"/>
          <w:szCs w:val="32"/>
          <w:lang w:bidi="ar"/>
        </w:rPr>
        <w:t>江苏省常州市</w:t>
      </w:r>
      <w:r w:rsidR="003A3FB3">
        <w:rPr>
          <w:rFonts w:ascii="方正小标宋简体" w:eastAsia="方正小标宋简体" w:hAnsi="方正小标宋简体" w:cs="方正小标宋简体" w:hint="eastAsia"/>
          <w:color w:val="000000"/>
          <w:kern w:val="0"/>
          <w:sz w:val="32"/>
          <w:szCs w:val="32"/>
          <w:lang w:bidi="ar"/>
        </w:rPr>
        <w:t>企业技术需求汇总表</w:t>
      </w:r>
      <w:r w:rsidR="00CF5856">
        <w:rPr>
          <w:rFonts w:ascii="方正小标宋简体" w:eastAsia="方正小标宋简体" w:hAnsi="方正小标宋简体" w:cs="方正小标宋简体" w:hint="eastAsia"/>
          <w:color w:val="000000"/>
          <w:kern w:val="0"/>
          <w:sz w:val="32"/>
          <w:szCs w:val="32"/>
          <w:lang w:bidi="ar"/>
        </w:rPr>
        <w:t>（第一批</w:t>
      </w:r>
      <w:bookmarkStart w:id="0" w:name="_GoBack"/>
      <w:bookmarkEnd w:id="0"/>
      <w:r w:rsidR="00CF5856">
        <w:rPr>
          <w:rFonts w:ascii="方正小标宋简体" w:eastAsia="方正小标宋简体" w:hAnsi="方正小标宋简体" w:cs="方正小标宋简体" w:hint="eastAsia"/>
          <w:color w:val="000000"/>
          <w:kern w:val="0"/>
          <w:sz w:val="32"/>
          <w:szCs w:val="32"/>
          <w:lang w:bidi="ar"/>
        </w:rPr>
        <w:t>）</w:t>
      </w:r>
    </w:p>
    <w:p w:rsidR="00E9337F" w:rsidRDefault="003A3FB3">
      <w:pPr>
        <w:jc w:val="center"/>
        <w:rPr>
          <w:rFonts w:ascii="Times New Roman" w:eastAsia="宋体" w:hAnsi="Times New Roman" w:cs="Times New Roman"/>
          <w:color w:val="000000"/>
          <w:kern w:val="0"/>
          <w:sz w:val="24"/>
          <w:lang w:bidi="ar"/>
        </w:rPr>
      </w:pPr>
      <w:r>
        <w:rPr>
          <w:rFonts w:ascii="Times New Roman" w:eastAsia="宋体" w:hAnsi="Times New Roman" w:cs="Times New Roman" w:hint="eastAsia"/>
          <w:color w:val="000000"/>
          <w:kern w:val="0"/>
          <w:sz w:val="24"/>
          <w:lang w:bidi="ar"/>
        </w:rPr>
        <w:t xml:space="preserve">                                                                                           </w:t>
      </w:r>
      <w:r>
        <w:rPr>
          <w:rFonts w:ascii="Times New Roman" w:eastAsia="宋体" w:hAnsi="Times New Roman" w:cs="Times New Roman"/>
          <w:color w:val="000000"/>
          <w:kern w:val="0"/>
          <w:sz w:val="24"/>
          <w:lang w:bidi="ar"/>
        </w:rPr>
        <w:t>2021</w:t>
      </w:r>
      <w:r>
        <w:rPr>
          <w:rFonts w:ascii="Times New Roman" w:eastAsia="宋体" w:hAnsi="Times New Roman" w:cs="Times New Roman"/>
          <w:color w:val="000000"/>
          <w:kern w:val="0"/>
          <w:sz w:val="24"/>
          <w:lang w:bidi="ar"/>
        </w:rPr>
        <w:t>年</w:t>
      </w:r>
      <w:r w:rsidR="00E4511C">
        <w:rPr>
          <w:rFonts w:ascii="Times New Roman" w:eastAsia="宋体" w:hAnsi="Times New Roman" w:cs="Times New Roman" w:hint="eastAsia"/>
          <w:color w:val="000000"/>
          <w:kern w:val="0"/>
          <w:sz w:val="24"/>
          <w:lang w:bidi="ar"/>
        </w:rPr>
        <w:t>9</w:t>
      </w:r>
      <w:r>
        <w:rPr>
          <w:rFonts w:ascii="Times New Roman" w:eastAsia="宋体" w:hAnsi="Times New Roman" w:cs="Times New Roman"/>
          <w:color w:val="000000"/>
          <w:kern w:val="0"/>
          <w:sz w:val="24"/>
          <w:lang w:bidi="ar"/>
        </w:rPr>
        <w:t>月</w:t>
      </w:r>
    </w:p>
    <w:tbl>
      <w:tblPr>
        <w:tblW w:w="1534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62"/>
        <w:gridCol w:w="1830"/>
        <w:gridCol w:w="9975"/>
        <w:gridCol w:w="1440"/>
        <w:gridCol w:w="720"/>
        <w:gridCol w:w="915"/>
      </w:tblGrid>
      <w:tr w:rsidR="00E9337F">
        <w:trPr>
          <w:cantSplit/>
          <w:trHeight w:val="1136"/>
          <w:tblHeader/>
        </w:trPr>
        <w:tc>
          <w:tcPr>
            <w:tcW w:w="462"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序号</w:t>
            </w:r>
          </w:p>
        </w:tc>
        <w:tc>
          <w:tcPr>
            <w:tcW w:w="183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企业名称</w:t>
            </w:r>
          </w:p>
        </w:tc>
        <w:tc>
          <w:tcPr>
            <w:tcW w:w="997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技术需求</w:t>
            </w:r>
          </w:p>
        </w:tc>
        <w:tc>
          <w:tcPr>
            <w:tcW w:w="144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需求类别</w:t>
            </w:r>
          </w:p>
        </w:tc>
        <w:tc>
          <w:tcPr>
            <w:tcW w:w="72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是否</w:t>
            </w:r>
          </w:p>
          <w:p w:rsidR="00E9337F" w:rsidRDefault="003A3FB3">
            <w:pPr>
              <w:widowControl/>
              <w:jc w:val="center"/>
              <w:textAlignment w:val="center"/>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高企</w:t>
            </w:r>
          </w:p>
        </w:tc>
        <w:tc>
          <w:tcPr>
            <w:tcW w:w="915"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所属</w:t>
            </w:r>
            <w:r>
              <w:rPr>
                <w:rFonts w:ascii="宋体" w:eastAsia="宋体" w:hAnsi="宋体" w:cs="宋体" w:hint="eastAsia"/>
                <w:color w:val="000000"/>
                <w:kern w:val="0"/>
                <w:sz w:val="24"/>
                <w:lang w:bidi="ar"/>
              </w:rPr>
              <w:br/>
              <w:t>街道</w:t>
            </w:r>
          </w:p>
        </w:tc>
      </w:tr>
      <w:tr w:rsidR="00E9337F">
        <w:trPr>
          <w:trHeight w:val="1967"/>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常州华威电子有限公司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 xml:space="preserve">铝电解电容器用新型高电导高稳定性电解质的开发  1.电解质参数要求：电导率：＞100mS/cm；粒径：20-50nm；分散均匀，安全环保，易存放。                        </w:t>
            </w:r>
            <w:r>
              <w:rPr>
                <w:rFonts w:asciiTheme="minorEastAsia" w:hAnsiTheme="minorEastAsia" w:cstheme="minorEastAsia" w:hint="eastAsia"/>
                <w:color w:val="000000"/>
                <w:kern w:val="0"/>
                <w:sz w:val="24"/>
                <w:lang w:bidi="ar"/>
              </w:rPr>
              <w:br/>
              <w:t xml:space="preserve">2.铝电解电容器要求：容量引出率：＞85%；损耗：＜4%；阻抗：＜20mΩ或比同规格常规液态产品小50%以上；漏电：＜0.01CV(uA)                                                                                         </w:t>
            </w:r>
            <w:r>
              <w:rPr>
                <w:rFonts w:asciiTheme="minorEastAsia" w:hAnsiTheme="minorEastAsia" w:cstheme="minorEastAsia" w:hint="eastAsia"/>
                <w:color w:val="000000"/>
                <w:kern w:val="0"/>
                <w:sz w:val="24"/>
                <w:lang w:bidi="ar"/>
              </w:rPr>
              <w:br/>
              <w:t xml:space="preserve">3.能批量生产：2021年＞1吨/月                                                                             </w:t>
            </w:r>
            <w:r>
              <w:rPr>
                <w:rFonts w:asciiTheme="minorEastAsia" w:hAnsiTheme="minorEastAsia" w:cstheme="minorEastAsia" w:hint="eastAsia"/>
                <w:color w:val="000000"/>
                <w:kern w:val="0"/>
                <w:sz w:val="24"/>
                <w:lang w:bidi="ar"/>
              </w:rPr>
              <w:br/>
              <w:t>4.配备对应材料的检测中心</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邹区</w:t>
            </w:r>
          </w:p>
        </w:tc>
      </w:tr>
      <w:tr w:rsidR="00E9337F">
        <w:trPr>
          <w:trHeight w:val="396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常州华威新材料有限公司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反射偏光增亮复合膜、柔性显示用纳米银线导电膜、CPI硬化膜   1、与金属模具有良好脱模性的UV固化胶水的开发，模具使用寿命由2万m提升至20万m；</w:t>
            </w:r>
            <w:r>
              <w:rPr>
                <w:rFonts w:asciiTheme="minorEastAsia" w:hAnsiTheme="minorEastAsia" w:cstheme="minorEastAsia" w:hint="eastAsia"/>
                <w:color w:val="000000"/>
                <w:kern w:val="0"/>
                <w:sz w:val="24"/>
                <w:lang w:bidi="ar"/>
              </w:rPr>
              <w:br/>
              <w:t>2、微透镜棱镜膜与液晶面板匹配时易出现摩尔纹现象，目前只能通过转角度减轻，需求通过微透镜排列改变或者原材料变更来消除摩尔纹等等；</w:t>
            </w:r>
            <w:r>
              <w:rPr>
                <w:rFonts w:asciiTheme="minorEastAsia" w:hAnsiTheme="minorEastAsia" w:cstheme="minorEastAsia" w:hint="eastAsia"/>
                <w:color w:val="000000"/>
                <w:kern w:val="0"/>
                <w:sz w:val="24"/>
                <w:lang w:bidi="ar"/>
              </w:rPr>
              <w:br/>
              <w:t>3、扩散膜PMMA粒子加二氧化钛，雾度需要由现在的90%提升至95%以上；</w:t>
            </w:r>
            <w:r>
              <w:rPr>
                <w:rFonts w:asciiTheme="minorEastAsia" w:hAnsiTheme="minorEastAsia" w:cstheme="minorEastAsia" w:hint="eastAsia"/>
                <w:color w:val="000000"/>
                <w:kern w:val="0"/>
                <w:sz w:val="24"/>
                <w:lang w:bidi="ar"/>
              </w:rPr>
              <w:br/>
              <w:t>4、反射偏光增亮复合膜易翘曲，10mm需要降低至4mm以内，通过更换基材类型或者低收缩UV树脂；</w:t>
            </w:r>
            <w:r>
              <w:rPr>
                <w:rFonts w:asciiTheme="minorEastAsia" w:hAnsiTheme="minorEastAsia" w:cstheme="minorEastAsia" w:hint="eastAsia"/>
                <w:color w:val="000000"/>
                <w:kern w:val="0"/>
                <w:sz w:val="24"/>
                <w:lang w:bidi="ar"/>
              </w:rPr>
              <w:br/>
              <w:t>5、在CPI膜的表面涂覆一层超高硬度的硬化涂层而形成的CPI硬化膜，具有高穿透率、优异的弯折性能、高硬度抗刮性能，而使用于柔性显示的最外层，透光率≥90%，硬度≥6H，弯折性能优；</w:t>
            </w:r>
            <w:r>
              <w:rPr>
                <w:rFonts w:asciiTheme="minorEastAsia" w:hAnsiTheme="minorEastAsia" w:cstheme="minorEastAsia" w:hint="eastAsia"/>
                <w:color w:val="000000"/>
                <w:kern w:val="0"/>
                <w:sz w:val="24"/>
                <w:lang w:bidi="ar"/>
              </w:rPr>
              <w:br/>
              <w:t>6、随着柔性显示的发展，高透光率、可挠性材料成为了柔性显示的关键材料，制约着柔性显示的发展。目前CPI膜由于其高透过率、以及优异的弯折性能，成为柔性显示及可折叠显示的优选材料，一般要求透光率≥90%，弯折性能优，热膨胀系数＜2*10-6/℃等性能要求。透光率≥90%，弯折性能优，热膨胀系数＜2*10-6/℃，玻璃化温度＞250℃。</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邹区</w:t>
            </w:r>
          </w:p>
        </w:tc>
      </w:tr>
      <w:tr w:rsidR="00E9337F">
        <w:trPr>
          <w:trHeight w:val="59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3</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江苏精研科技股份有限公司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高致密层的不锈钢材料  开发出产品表面致密层厚度≥300μm且稳定的粉末注射成型材料和工艺</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176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江苏裕兴薄膜科技股份有限公司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OCA光学胶用低粗糙度聚酯薄膜的研制  技术攻关1：低粗糙度聚酯基膜</w:t>
            </w:r>
            <w:r>
              <w:rPr>
                <w:rFonts w:asciiTheme="minorEastAsia" w:hAnsiTheme="minorEastAsia" w:cstheme="minorEastAsia" w:hint="eastAsia"/>
                <w:color w:val="000000"/>
                <w:kern w:val="0"/>
                <w:sz w:val="24"/>
                <w:lang w:bidi="ar"/>
              </w:rPr>
              <w:br/>
              <w:t>技术指标：表面粗糙度：Ra=30-45nm、Rz=200-400nm、Rmax=300-500nm；光学性能：雾度=3-6%，清晰度≥95%；</w:t>
            </w:r>
            <w:r>
              <w:rPr>
                <w:rFonts w:asciiTheme="minorEastAsia" w:hAnsiTheme="minorEastAsia" w:cstheme="minorEastAsia" w:hint="eastAsia"/>
                <w:color w:val="000000"/>
                <w:kern w:val="0"/>
                <w:sz w:val="24"/>
                <w:lang w:bidi="ar"/>
              </w:rPr>
              <w:br/>
              <w:t>技术攻关2：聚脂薄膜表观控制</w:t>
            </w:r>
            <w:r>
              <w:rPr>
                <w:rFonts w:asciiTheme="minorEastAsia" w:hAnsiTheme="minorEastAsia" w:cstheme="minorEastAsia" w:hint="eastAsia"/>
                <w:color w:val="000000"/>
                <w:kern w:val="0"/>
                <w:sz w:val="24"/>
                <w:lang w:bidi="ar"/>
              </w:rPr>
              <w:br/>
              <w:t>技术指标：平整度：翘曲高度小于0.15mm；白点数量：总数不超过20个/50cm*50cm，直径0.1-0.2mm＜4个/㎡，直径大于0.2mm，无。</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102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5</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常州钟恒新材料股份有限公司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研究开发高性能BOPET薄膜   1、在线PET涂20-40g/in离型力的技术研发项目2、亚光度15-30%单面亚光膜的技术研发项目 3、单面高光泽度PET膜的技术研发项目  4、高性能光学保护膜基膜研发项目</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121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6</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常州市智霖网业新材料有限公司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多层次高吸附性脱硫网的研发，高透气性聚酯网的研发  对高新技术项目需求和企业技术难题，积极组织力量进行研究开发、成果转化和技攻关，支持企业技术创新，解决产业优化中制约产业发展的关键技术、共性技术以及企业的具体技术工艺问题和管理问题，帮助进行新产品开发、新技术、新工艺、新材料、新设备的推广应用，以及质量攻关。</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424"/>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7</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江苏皓月涂料有限公司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水性环保汽车漆技术开发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9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8</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常州市科文传感器材料有限公司</w:t>
            </w:r>
          </w:p>
        </w:tc>
        <w:tc>
          <w:tcPr>
            <w:tcW w:w="9975"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拟与苏州禾川化学技术服务有限公司开展高可靠性温度传感器等方面的合作</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E9337F">
            <w:pPr>
              <w:widowControl/>
              <w:jc w:val="center"/>
              <w:textAlignment w:val="center"/>
              <w:rPr>
                <w:rFonts w:asciiTheme="minorEastAsia" w:hAnsiTheme="minorEastAsia" w:cstheme="minorEastAsia"/>
                <w:color w:val="000000"/>
                <w:kern w:val="0"/>
                <w:sz w:val="24"/>
                <w:lang w:bidi="ar"/>
              </w:rPr>
            </w:pPr>
          </w:p>
        </w:tc>
      </w:tr>
      <w:tr w:rsidR="00E9337F">
        <w:trPr>
          <w:trHeight w:val="9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9</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江苏祺胜现代新材料有限公司</w:t>
            </w:r>
          </w:p>
        </w:tc>
        <w:tc>
          <w:tcPr>
            <w:tcW w:w="9975"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希望与当地高校开展合作，依托高校实验设备资源，提升企业关于轨道交通及车用发泡等方面的技术</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9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10</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江苏丽岛新材料股份有限公司</w:t>
            </w:r>
          </w:p>
        </w:tc>
        <w:tc>
          <w:tcPr>
            <w:tcW w:w="9975"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暂无具体项目名称。拟投入50万元，与相关单位进行合作开发或者技术转让，有专利要求。</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9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11</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常州中英科技股份有限公司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高频微波覆铜板</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76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12</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常州市众华建材科技有限公司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高性能修补砂浆的开发与应用  已经与常州工程职业技术学院开展合作开发。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61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13</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常州艾柯轧辊有限公司</w:t>
            </w:r>
          </w:p>
        </w:tc>
        <w:tc>
          <w:tcPr>
            <w:tcW w:w="9975" w:type="dxa"/>
            <w:tcBorders>
              <w:tl2br w:val="nil"/>
              <w:tr2bl w:val="nil"/>
            </w:tcBorders>
            <w:noWrap/>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镶套支承辊的研究与开发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新材料</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123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14</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常州优达电子科技有限公司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变压器局部放电在线监测系统  1.完成市场需求分析、报告等工作。2.进行变压器局部调理电路设计、带通滤波电路设计等产品设计工作。3.完成项目产品的数据采集、处理模块、软件技术平台简介等研究开发工作。4.进行系统主控程序设计、系统硬件驱动软件实训等产品测试工作。</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96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15</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常州市创捷防雷电子有限公司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智能电涌保护器  智能电涌保护器：1.能给出产品寿命预期、并在寿命结束前发出预警；2.记录每一次雷击或过电压发生时间、幅值、波形；3.产品用于防雷、自身需要抗雷击；4：体积要小；5.成本要有优势。</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58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16</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常州国光数据通信有限公司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 xml:space="preserve">国产化主板通用平台技术  </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167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17</w:t>
            </w:r>
          </w:p>
        </w:tc>
        <w:tc>
          <w:tcPr>
            <w:tcW w:w="1830" w:type="dxa"/>
            <w:tcBorders>
              <w:tl2br w:val="nil"/>
              <w:tr2bl w:val="nil"/>
            </w:tcBorders>
            <w:tcMar>
              <w:top w:w="15" w:type="dxa"/>
              <w:left w:w="15" w:type="dxa"/>
              <w:right w:w="15" w:type="dxa"/>
            </w:tcMar>
            <w:vAlign w:val="center"/>
          </w:tcPr>
          <w:p w:rsidR="00E9337F" w:rsidRPr="00836EB9" w:rsidRDefault="003A3FB3">
            <w:pPr>
              <w:widowControl/>
              <w:jc w:val="left"/>
              <w:textAlignment w:val="center"/>
              <w:rPr>
                <w:rFonts w:asciiTheme="minorEastAsia" w:hAnsiTheme="minorEastAsia" w:cstheme="minorEastAsia"/>
                <w:color w:val="FF0000"/>
                <w:kern w:val="0"/>
                <w:sz w:val="24"/>
                <w:lang w:bidi="ar"/>
              </w:rPr>
            </w:pPr>
            <w:r w:rsidRPr="00836EB9">
              <w:rPr>
                <w:rFonts w:asciiTheme="minorEastAsia" w:hAnsiTheme="minorEastAsia" w:cstheme="minorEastAsia" w:hint="eastAsia"/>
                <w:color w:val="FF0000"/>
                <w:kern w:val="0"/>
                <w:sz w:val="24"/>
                <w:lang w:bidi="ar"/>
              </w:rPr>
              <w:t>常州匠心独具智能家居股份有限公司</w:t>
            </w:r>
          </w:p>
        </w:tc>
        <w:tc>
          <w:tcPr>
            <w:tcW w:w="9975" w:type="dxa"/>
            <w:tcBorders>
              <w:tl2br w:val="nil"/>
              <w:tr2bl w:val="nil"/>
            </w:tcBorders>
            <w:tcMar>
              <w:top w:w="15" w:type="dxa"/>
              <w:left w:w="15" w:type="dxa"/>
              <w:right w:w="15" w:type="dxa"/>
            </w:tcMar>
            <w:vAlign w:val="center"/>
          </w:tcPr>
          <w:p w:rsidR="00E9337F" w:rsidRPr="00836EB9" w:rsidRDefault="003A3FB3">
            <w:pPr>
              <w:widowControl/>
              <w:ind w:firstLineChars="200" w:firstLine="480"/>
              <w:jc w:val="left"/>
              <w:textAlignment w:val="center"/>
              <w:rPr>
                <w:rFonts w:asciiTheme="minorEastAsia" w:hAnsiTheme="minorEastAsia" w:cstheme="minorEastAsia"/>
                <w:color w:val="FF0000"/>
                <w:kern w:val="0"/>
                <w:sz w:val="24"/>
                <w:lang w:bidi="ar"/>
              </w:rPr>
            </w:pPr>
            <w:r w:rsidRPr="00836EB9">
              <w:rPr>
                <w:rFonts w:asciiTheme="minorEastAsia" w:hAnsiTheme="minorEastAsia" w:cstheme="minorEastAsia" w:hint="eastAsia"/>
                <w:color w:val="FF0000"/>
                <w:kern w:val="0"/>
                <w:sz w:val="24"/>
                <w:lang w:bidi="ar"/>
              </w:rPr>
              <w:t>软体家居智能化集成创新与应用  分布式软体家居智能识别与协同控制的研究与开发，主要是解决智能家居产品在智能化方面的关键问题，结合应用企业在产品创新与产品研发中的核心关键技术攻关具体需求，开展分布式软体家居的智能识别与协同控制技术研究，研究基于深度学习的用户个性化行为学习与识别技术及智能家居的自适应智能控制技术。主要技术指标：1）采用Wifi和NB-Iot相结合的通讯技术，实现智能家居编组控制，2）达到不少于5个智能家居产品的集成化控制；</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135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18</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常州美能特机电制造有限公司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软体家居智能控制系统的研发  开展多电机协同控制技术，项目主创新点为采用信息技术，开发多电机控制器，对智能家居产品的电机进行多功能控制，实现物理按键、软件系统等多元化操作，完成智能家居的功能性控制。预计设计软件系统1套、发明专利申请2件，实用新型专利3件，产品总成1套。</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85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19</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常州市泰裕电器有限公司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新款变频器  开发国内稀缺、独特的变频器产品，并投入生产成品，满足客户的发展需求</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西林</w:t>
            </w:r>
          </w:p>
        </w:tc>
      </w:tr>
      <w:tr w:rsidR="00E9337F">
        <w:trPr>
          <w:trHeight w:val="398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20</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江苏大麦信息科技有限公司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基于区块链技术的检验检测平台  项目背景：检测报告是检验检测行业进行检验、检测后所出具的客观书面证明，是消费者判断产品、商品质量和职能部门依法监管的重要依据。目前检测行业的检测报告大多为检测机构自行打印，缺乏有效的防伪方法，易被仿造，检测报告的可信度下降。</w:t>
            </w:r>
            <w:r>
              <w:rPr>
                <w:rFonts w:asciiTheme="minorEastAsia" w:hAnsiTheme="minorEastAsia" w:cstheme="minorEastAsia" w:hint="eastAsia"/>
                <w:color w:val="000000"/>
                <w:kern w:val="0"/>
                <w:sz w:val="24"/>
                <w:lang w:bidi="ar"/>
              </w:rPr>
              <w:br/>
              <w:t>平台架构：平台底层方面采用联盟链，联盟链更具自主可控性，所需节点可由权威节点进行增减，相对于公链更少的节点，保证了区块链的交易速度和工作效率。在确保区块链稳定的同时，兼顾了应用的灵活和可拓展性。节点由检测单位，监管部门，行业协会，灾备节点组成。每笔交易【记录】经由智能合约执行入链，合约的部署和调用交易由一个节点发出并向全网广播，再由各个节点分别执行合约，终通过共识机制达成结果并存储到区块上。从而实现多方备份，增加公信力。</w:t>
            </w:r>
            <w:r>
              <w:rPr>
                <w:rFonts w:asciiTheme="minorEastAsia" w:hAnsiTheme="minorEastAsia" w:cstheme="minorEastAsia" w:hint="eastAsia"/>
                <w:color w:val="000000"/>
                <w:kern w:val="0"/>
                <w:sz w:val="24"/>
                <w:lang w:bidi="ar"/>
              </w:rPr>
              <w:br/>
              <w:t>最终实现：报告信息可查询、信息可视化、报告去向可追溯、行业大数据管理、报告责任可追究、提升企业品牌信任度</w:t>
            </w:r>
            <w:r>
              <w:rPr>
                <w:rFonts w:asciiTheme="minorEastAsia" w:hAnsiTheme="minorEastAsia" w:cstheme="minorEastAsia" w:hint="eastAsia"/>
                <w:color w:val="000000"/>
                <w:kern w:val="0"/>
                <w:sz w:val="24"/>
                <w:lang w:bidi="ar"/>
              </w:rPr>
              <w:br/>
              <w:t>核心技术说明：1、将报告核心数据传入无法篡改的区块链上，保证原始数据的绝对安全。2、将加密规则写入智能合约，保证加密规则不被入侵和破解。3、通过区块链技术对核心数据和算法进行防篡改保护，打造最可靠的防伪方案。</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南大街</w:t>
            </w:r>
          </w:p>
        </w:tc>
      </w:tr>
      <w:tr w:rsidR="00E9337F">
        <w:trPr>
          <w:trHeight w:val="95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21</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江苏波速传感器有限公司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压电泵相关的设计、仿真 尺寸：15*15mm；</w:t>
            </w:r>
            <w:r>
              <w:rPr>
                <w:rFonts w:asciiTheme="minorEastAsia" w:hAnsiTheme="minorEastAsia" w:cstheme="minorEastAsia" w:hint="eastAsia"/>
                <w:color w:val="000000"/>
                <w:kern w:val="0"/>
                <w:sz w:val="24"/>
                <w:lang w:bidi="ar"/>
              </w:rPr>
              <w:br/>
              <w:t>流量：5mL/min;</w:t>
            </w:r>
            <w:r>
              <w:rPr>
                <w:rFonts w:asciiTheme="minorEastAsia" w:hAnsiTheme="minorEastAsia" w:cstheme="minorEastAsia" w:hint="eastAsia"/>
                <w:color w:val="000000"/>
                <w:kern w:val="0"/>
                <w:sz w:val="24"/>
                <w:lang w:bidi="ar"/>
              </w:rPr>
              <w:br/>
              <w:t xml:space="preserve">背压：1m </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79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22</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常州博康电子技术有限公司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拟实施3C快充氮化镓充电器项目，关于自动化生产线方面的技术需求</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78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23</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常州博研科技有限公司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拟开展关于智能工厂自动化的研究开发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176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24</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格力博（江苏）股份有限公司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锂电池包的大容量放电和大电流充电和防水防尘技术  目前这是一组矛盾的课题。锂电池电动工具由于体积较小，与之配套的电池包体积也难以做大，但是工具类由于工况需求，需要大电流放电和大电流快速充电，势必引起电芯发热。由于空间体积较小，无法像电动车那样做液冷或者通入空调冷气。故常见的是有外壳局部打开的风道进行电芯冷却，但电动和园林工具经常户外使用，有防水和防尘的需求，这方面的设计要求外壳是密封的状态。所以寻求解决此问题的技术需求。</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农机和工程机械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62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25</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常州亚美柯机械设备有限公司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全自动蔬菜移栽机械与蔬菜种植农艺融合</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农机和工程机械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62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26</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江苏赛瑞机器人装备有限公司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石油自动化装备  液压钳的研发 ，要求既能夹持油管又能夹持油杆， 一套液压钳能完成。</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农机和工程机械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696"/>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27</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常州朗业机械有限公司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焊接专机智能化研究与开发  对焊接专机智能化进行总体设计、方案制作及可行性研发。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农机和工程机械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西林</w:t>
            </w:r>
          </w:p>
        </w:tc>
      </w:tr>
      <w:tr w:rsidR="00E9337F">
        <w:trPr>
          <w:trHeight w:val="63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28</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常州海杰冶金机械制造有限公司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基础框架研发、连铸扇形段研发、输送辊道研发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农机和工程机械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117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29</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常州东风农机集团有限公司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拖拉机电子控制系统  基于标准化通讯协议的信息通讯为核心的网络化分布式控制技术，集成控制发动机、动力换挡系统、前驱动桥、前后桥差速锁、前后动力输出轴、离合器、电控负荷传感液压系统、农具辅助操纵系统等部件上独立控制系统的拖拉机整机电子控制系统。</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农机和工程机械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58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30</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常州咏进数控技术有限公司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寻求合作单位，联合开发五轴系统加工中心</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农机和工程机械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西林</w:t>
            </w:r>
          </w:p>
        </w:tc>
      </w:tr>
      <w:tr w:rsidR="00E9337F">
        <w:trPr>
          <w:trHeight w:val="67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31</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常州昌瑞汽车部品制造有限公司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自动化气囊视觉检测  气囊制作中需要进行目视检查保证产品的品质。其中包含缝制状态检测、缝头大小检测、配件的有无检测、部品使用是否正确等一系列的检测要求。</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汽车及</w:t>
            </w:r>
          </w:p>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零部件</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66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32</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韦士肯（常州）智能科技有限公司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汽车发动机零部件装配检测设备  模拟仿真汽车零部件在发动机工作时的状态，进行装配和检测。</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汽车及</w:t>
            </w:r>
          </w:p>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零部件</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59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33</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江苏信利电子常州有限公司</w:t>
            </w:r>
          </w:p>
        </w:tc>
        <w:tc>
          <w:tcPr>
            <w:tcW w:w="9975"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LED灯模组开发。有专利技术要求</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汽车及</w:t>
            </w:r>
          </w:p>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零部件</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170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34</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江苏康博医疗器械有限公司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宫颈病变诊疗系统整体解决方案  宫颈病变是妇科常见病和多发病，宫颈病变诊疗系统是标准化和规范化诊疗宫颈疾病的手术器械包以及辅助诊断软件，目的是提高基层医院诊疗水平，普及宫颈病变诊疗标准化和规范化流程，该项目研发投入200万元，已完成相关器械的设计研发和生产，将联合临床专家对诊疗标准化和规范化应用进行计算机辅助软件设计，以提高该病变全国诊疗水平，避免漏诊和误诊。</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生物医药及医疗器械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751"/>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35</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江苏永信医疗科技有限公司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1.电子信息智能化医用设备2.可视交换系统3.医疗器械等合作方式多样化</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电子信息</w:t>
            </w:r>
            <w:r>
              <w:rPr>
                <w:rFonts w:asciiTheme="minorEastAsia" w:hAnsiTheme="minorEastAsia" w:cstheme="minorEastAsia" w:hint="eastAsia"/>
                <w:color w:val="000000"/>
                <w:kern w:val="0"/>
                <w:sz w:val="24"/>
                <w:lang w:bidi="ar"/>
              </w:rPr>
              <w:br/>
              <w:t>生物医药及医疗器械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71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36</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常州美康源医疗科技有限公司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拟研发和杀菌相关的技术</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生物医药及医疗器械</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西林</w:t>
            </w:r>
          </w:p>
        </w:tc>
      </w:tr>
      <w:tr w:rsidR="00E9337F">
        <w:trPr>
          <w:trHeight w:val="71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37</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常州清流环保科技有限公司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有机废硫酸资源化再生技术研究  1、能够实现有机物和酸的分离，保证再生后硫酸中TOC≤500mg/L；2、不能在废酸中引入其他杂质阴离子。3、工艺成熟，能耗低，不使用裂解装置。</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能源环保</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邹区</w:t>
            </w:r>
          </w:p>
        </w:tc>
      </w:tr>
      <w:tr w:rsidR="00E9337F">
        <w:trPr>
          <w:trHeight w:val="224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38</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江苏环球龙圣环境科技发展有限公司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逆流式自然通风冷却塔冬季防冻消雾节水技术  北方地区的工业循环水采用逆流式自然通风冷却塔进入冬季运行后，由于气温低造成进风口及填料下方结冰往往危及机组的安全经济运行，另外冬季运行容易形成白雾飘逸至塔外，不仅造成水源染费，还给环境污染及交通事故埋下隐患。本项目试图探索解决逆流式自然通风冷却塔冬季防冻消雾节水的技术：1.在冬季运行环境气温下降至零度以下时冷却塔进风口及填料下方不结冰；2.冷却塔出口消除白雾，可能条件下实现100%的无飘逸（或无蒸发）；3.解决上述问题如需要增设其他装置时，要求夏季不影响冷却塔进风和正常的冷却效果；4.同时考虑将冷却塔落水环境噪声降低至：白天≤65dB,夜间≤55dB。</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能源环保</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邹区</w:t>
            </w:r>
          </w:p>
        </w:tc>
      </w:tr>
      <w:tr w:rsidR="00E9337F">
        <w:trPr>
          <w:trHeight w:val="9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39</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江苏腾奇电力设备科技有限公司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绿色变压器散热装备及精密智造关键技术的研发  铝合金片式散热器的生产工艺是将铝合金卷材经过特制的加工模具进行压制成型后，将两片同样长度的铝合金片相向合并，再进行中间油道及边部的焊接，后再与铝管焊接制成片式散热器，形成导流状态，然后通过清洗，及气压试验制成片式散热器成品。一种变压器用铝合金片式散热器，通过上述工艺制成。本项目所研发的铝合金片式散热器的生产工艺，能够通过铝合金生产处散热性能较好的片式散热器，制造成本低，使用效果好。主要技术指标：</w:t>
            </w:r>
            <w:r>
              <w:rPr>
                <w:rFonts w:asciiTheme="minorEastAsia" w:hAnsiTheme="minorEastAsia" w:cstheme="minorEastAsia" w:hint="eastAsia"/>
                <w:color w:val="000000"/>
                <w:kern w:val="0"/>
                <w:sz w:val="24"/>
                <w:lang w:bidi="ar"/>
              </w:rPr>
              <w:br/>
              <w:t>1/铝合金散热器与普通碳钢散热器的自然循环散热性能的提升比率15-20％。</w:t>
            </w:r>
            <w:r>
              <w:rPr>
                <w:rFonts w:asciiTheme="minorEastAsia" w:hAnsiTheme="minorEastAsia" w:cstheme="minorEastAsia" w:hint="eastAsia"/>
                <w:color w:val="000000"/>
                <w:kern w:val="0"/>
                <w:sz w:val="24"/>
                <w:lang w:bidi="ar"/>
              </w:rPr>
              <w:br/>
              <w:t>2/铝合金片式散热器预期可提升散热效率20-25％。</w:t>
            </w:r>
            <w:r>
              <w:rPr>
                <w:rFonts w:asciiTheme="minorEastAsia" w:hAnsiTheme="minorEastAsia" w:cstheme="minorEastAsia" w:hint="eastAsia"/>
                <w:color w:val="000000"/>
                <w:kern w:val="0"/>
                <w:sz w:val="24"/>
                <w:lang w:bidi="ar"/>
              </w:rPr>
              <w:br/>
              <w:t>3/同容量变压器的铝合金片式散热器与普通碳钢的散热器使用组数量减少20-30％。</w:t>
            </w:r>
            <w:r>
              <w:rPr>
                <w:rFonts w:asciiTheme="minorEastAsia" w:hAnsiTheme="minorEastAsia" w:cstheme="minorEastAsia" w:hint="eastAsia"/>
                <w:color w:val="000000"/>
                <w:kern w:val="0"/>
                <w:sz w:val="24"/>
                <w:lang w:bidi="ar"/>
              </w:rPr>
              <w:br/>
              <w:t>4/同容量变压器的铝合金片式散热器与普通碳钢的散热器使用重量降低20-30％。</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智能电网</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57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40</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江苏阳湖电缆有限公司</w:t>
            </w:r>
          </w:p>
        </w:tc>
        <w:tc>
          <w:tcPr>
            <w:tcW w:w="9975"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拟开展特高压电缆，带光纤的铝合金进户复合电缆项目</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智能电网</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56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41</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常州市鑫灿食品有限公司</w:t>
            </w:r>
          </w:p>
        </w:tc>
        <w:tc>
          <w:tcPr>
            <w:tcW w:w="9975"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人造肉在食品馅料中的应用；拟投入120万元；邀请与常州大学邹平专家进行技术咨询</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现代农业</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796"/>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42</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中科摩通（常州）智能制造股份有限公司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拟与河海大学或其他相关专业优势高校合作，开发智能工厂托管运维云平台</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现代服务业</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五星</w:t>
            </w:r>
          </w:p>
        </w:tc>
      </w:tr>
      <w:tr w:rsidR="00E9337F">
        <w:trPr>
          <w:trHeight w:val="871"/>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43</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江苏尼高科技有限公司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高性能机制砂混凝土材料制备与技术应用研究   （1）机制砂性能研究与对比测试，满足指标要求；（2）工程试点，验证产品效果；（3）申请专利1-2项，核心期刊论文2-3篇。</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邹区</w:t>
            </w:r>
          </w:p>
        </w:tc>
      </w:tr>
      <w:tr w:rsidR="00E9337F">
        <w:trPr>
          <w:trHeight w:val="499"/>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44</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常州市威尔莱炉业有限公司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旋转火焰技术开发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邹区</w:t>
            </w:r>
          </w:p>
        </w:tc>
      </w:tr>
      <w:tr w:rsidR="00E9337F">
        <w:trPr>
          <w:trHeight w:val="766"/>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45</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常州市远尔博轨道交通设备有限公司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地铁蓄电池箱的研发  风源装置</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403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46</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弗格森输送机械（常州）有限公司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氮气循环气力输送项目 当氮气循环系统内部压力大于外部环境压力时，外部环境空气（空气）难于进入输送系统，从而从根本上杜绝了物料输送过程中的物料燃烧的第三个条件。主要工作流程为：粉体物料由投料储存仓，经粉体旋转阀、螺旋输送器、到达计量称重料仓；发送罐上方的计量称重料仓精准控制物料由计量仓进入发送罐；发送罐通入0.3~0.6Mpa输送介质-氮气，把进入发送罐底部流出的粉体由低处向高处输送至配料缓冲仓。氮气从配料缓冲仓除尘器出口经过滤器、冷凝器，被引风机引至氮气压力缓冲罐，再经过升压机组升压至0.3~0.6Mpa循环至发送罐，用于粉体输送动力介质。管路法兰采用专用法兰密封垫密封，投料仓下部采用旋转阀与环境空气密封，配料缓冲仓下部采用粉体旋转阀、螺旋输送下料至反应釜，粉体旋转阀采用均压孔技术。本项目研发的粉料氮气循环正压密相/稀相输送系统减少了外界环境空气（氧气）进入输送管道的可能性，同时解决了粉料氮气输送过程中的氮气不能回收的问题，节约了能源耗损，防止了输送粉体物料与与外界空气（氧气）的接触氧化以及可能存在的粉体物料中的挥发物燃烧、爆炸的可能性；</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211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47</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常州科研试制中心有限公司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 xml:space="preserve">复杂辅助运输机器人系统 针对煤矿辅助运输工况复杂、转载环节多、运输效率低等问题，研制标准化容器抓取装置，开发车辆与标准化容器智能化识别系统，研究井下辅助运输机器人自主行为决策系统，实现辅助运输车辆、容器标准化和转载作业无人化。要求：物料标准容器识别不少于6种，标准容器识别准确率不低于98%，单轨吊运输机器人适应巷道最大倾角25°，最大牵引力200kN，单件运输重量20t，障碍物最大探测距离30m，电机车辅助运输机器人最大牵引力19.62kN，最大运输重量20t，障碍物最大探测距离30m，转载机器人最大吊装载荷20t，单词自动化转载时间≤10min。 </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65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48</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常州中天气雾制品有限公司</w:t>
            </w:r>
          </w:p>
        </w:tc>
        <w:tc>
          <w:tcPr>
            <w:tcW w:w="9975"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拟与化工类院校合作，开展日用化学品产品的开发项目</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北港</w:t>
            </w:r>
          </w:p>
        </w:tc>
      </w:tr>
      <w:tr w:rsidR="00E9337F">
        <w:trPr>
          <w:trHeight w:val="65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49</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常州市神工造粒设备有限公司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危废飞灰、底渣等离子熔融项目</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114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50</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江苏长江智能制造研究院有限责任公司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焊接工作站  焊接工作站研究，满足客户生产图纸需求或压力容器，车辆等行业的国内、国际标准。</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85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51</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常州赛迪工具有限公司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咖啡机，锂电老鼠砂，锂电三合一，锂电三头砂，锂电热风枪，锂电抛光机，锂电迷你锯，锂电圆砂，交流砂光机系列  20v，40v咖啡机，240ml咖啡容量，可以使用咖啡粉，咖啡包。</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113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52</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江苏佳尔利装饰材料有限公司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搭建平台，整合涂料生产、销售资源，推动产业升级；有专利要求，拟投入1000-2000万元，寻求涂料技术类、资源整合类专家，进行合作开发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新闸</w:t>
            </w:r>
          </w:p>
        </w:tc>
      </w:tr>
      <w:tr w:rsidR="00E9337F">
        <w:trPr>
          <w:trHeight w:val="113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lastRenderedPageBreak/>
              <w:t>53</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常州港华燃气有限公司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拟与常州大学合作，研发城市易燃易爆介质地下管廊导管泄爆关键技术</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五星</w:t>
            </w:r>
          </w:p>
        </w:tc>
      </w:tr>
      <w:tr w:rsidR="00E9337F">
        <w:trPr>
          <w:trHeight w:val="113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54</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金翌车业有限公司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电动摩托车新车型开发</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否</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永红</w:t>
            </w:r>
          </w:p>
        </w:tc>
      </w:tr>
      <w:tr w:rsidR="00E9337F">
        <w:trPr>
          <w:trHeight w:val="1135"/>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55</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江苏网擎信息技术有限公司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基于Web的漏洞扫描系统的设计与实现</w:t>
            </w:r>
            <w:r>
              <w:rPr>
                <w:rFonts w:asciiTheme="minorEastAsia" w:hAnsiTheme="minorEastAsia" w:cstheme="minorEastAsia" w:hint="eastAsia"/>
                <w:color w:val="000000"/>
                <w:kern w:val="0"/>
                <w:sz w:val="24"/>
                <w:lang w:bidi="ar"/>
              </w:rPr>
              <w:br/>
              <w:t>应具备对操作系统（Windows、Unix、Linux等）、数据库（Oracle、MS-Sql 、MySql 等）、网络设备（路由器等）、安全设备（防火墙等）、特定应用程序等多种系统进行漏洞扫描评估的能力。</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荷花池</w:t>
            </w:r>
          </w:p>
        </w:tc>
      </w:tr>
      <w:tr w:rsidR="00E9337F">
        <w:trPr>
          <w:trHeight w:val="930"/>
        </w:trPr>
        <w:tc>
          <w:tcPr>
            <w:tcW w:w="462"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56</w:t>
            </w:r>
          </w:p>
        </w:tc>
        <w:tc>
          <w:tcPr>
            <w:tcW w:w="1830" w:type="dxa"/>
            <w:tcBorders>
              <w:tl2br w:val="nil"/>
              <w:tr2bl w:val="nil"/>
            </w:tcBorders>
            <w:tcMar>
              <w:top w:w="15" w:type="dxa"/>
              <w:left w:w="15" w:type="dxa"/>
              <w:right w:w="15" w:type="dxa"/>
            </w:tcMar>
            <w:vAlign w:val="center"/>
          </w:tcPr>
          <w:p w:rsidR="00E9337F" w:rsidRDefault="003A3FB3">
            <w:pPr>
              <w:widowControl/>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常州天利智能控制股份有限公司</w:t>
            </w:r>
          </w:p>
        </w:tc>
        <w:tc>
          <w:tcPr>
            <w:tcW w:w="9975" w:type="dxa"/>
            <w:tcBorders>
              <w:tl2br w:val="nil"/>
              <w:tr2bl w:val="nil"/>
            </w:tcBorders>
            <w:tcMar>
              <w:top w:w="15" w:type="dxa"/>
              <w:left w:w="15" w:type="dxa"/>
              <w:right w:w="15" w:type="dxa"/>
            </w:tcMar>
            <w:vAlign w:val="center"/>
          </w:tcPr>
          <w:p w:rsidR="00E9337F" w:rsidRDefault="003A3FB3">
            <w:pPr>
              <w:widowControl/>
              <w:ind w:firstLineChars="200" w:firstLine="480"/>
              <w:jc w:val="left"/>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1、辐射屏敝；2、高频电路</w:t>
            </w:r>
          </w:p>
        </w:tc>
        <w:tc>
          <w:tcPr>
            <w:tcW w:w="1440" w:type="dxa"/>
            <w:tcBorders>
              <w:tl2br w:val="nil"/>
              <w:tr2bl w:val="nil"/>
            </w:tcBorders>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其他</w:t>
            </w:r>
          </w:p>
        </w:tc>
        <w:tc>
          <w:tcPr>
            <w:tcW w:w="720"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是</w:t>
            </w:r>
          </w:p>
        </w:tc>
        <w:tc>
          <w:tcPr>
            <w:tcW w:w="915" w:type="dxa"/>
            <w:tcBorders>
              <w:tl2br w:val="nil"/>
              <w:tr2bl w:val="nil"/>
            </w:tcBorders>
            <w:noWrap/>
            <w:tcMar>
              <w:top w:w="15" w:type="dxa"/>
              <w:left w:w="15" w:type="dxa"/>
              <w:right w:w="15" w:type="dxa"/>
            </w:tcMar>
            <w:vAlign w:val="center"/>
          </w:tcPr>
          <w:p w:rsidR="00E9337F" w:rsidRDefault="003A3FB3">
            <w:pPr>
              <w:widowControl/>
              <w:jc w:val="center"/>
              <w:textAlignment w:val="center"/>
              <w:rPr>
                <w:rFonts w:asciiTheme="minorEastAsia" w:hAnsiTheme="minorEastAsia" w:cstheme="minorEastAsia"/>
                <w:color w:val="000000"/>
                <w:kern w:val="0"/>
                <w:sz w:val="24"/>
                <w:lang w:bidi="ar"/>
              </w:rPr>
            </w:pPr>
            <w:r>
              <w:rPr>
                <w:rFonts w:asciiTheme="minorEastAsia" w:hAnsiTheme="minorEastAsia" w:cstheme="minorEastAsia" w:hint="eastAsia"/>
                <w:color w:val="000000"/>
                <w:kern w:val="0"/>
                <w:sz w:val="24"/>
                <w:lang w:bidi="ar"/>
              </w:rPr>
              <w:t>荷花池</w:t>
            </w:r>
          </w:p>
        </w:tc>
      </w:tr>
    </w:tbl>
    <w:p w:rsidR="00E9337F" w:rsidRDefault="00E9337F">
      <w:pPr>
        <w:jc w:val="left"/>
        <w:rPr>
          <w:rFonts w:ascii="Times New Roman" w:eastAsia="宋体" w:hAnsi="Times New Roman" w:cs="Times New Roman"/>
          <w:color w:val="000000"/>
          <w:kern w:val="0"/>
          <w:sz w:val="24"/>
          <w:lang w:bidi="ar"/>
        </w:rPr>
      </w:pPr>
    </w:p>
    <w:sectPr w:rsidR="00E9337F">
      <w:footerReference w:type="default" r:id="rId7"/>
      <w:pgSz w:w="16838" w:h="11906" w:orient="landscape"/>
      <w:pgMar w:top="1440" w:right="1080" w:bottom="1440" w:left="1080" w:header="851" w:footer="107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D6" w:rsidRDefault="006170D6">
      <w:r>
        <w:separator/>
      </w:r>
    </w:p>
  </w:endnote>
  <w:endnote w:type="continuationSeparator" w:id="0">
    <w:p w:rsidR="006170D6" w:rsidRDefault="0061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7F" w:rsidRDefault="003A3FB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337F" w:rsidRDefault="003A3FB3">
                          <w:pPr>
                            <w:pStyle w:val="a3"/>
                          </w:pPr>
                          <w:r>
                            <w:rPr>
                              <w:sz w:val="24"/>
                            </w:rPr>
                            <w:fldChar w:fldCharType="begin"/>
                          </w:r>
                          <w:r>
                            <w:rPr>
                              <w:sz w:val="24"/>
                            </w:rPr>
                            <w:instrText xml:space="preserve"> PAGE  \* MERGEFORMAT </w:instrText>
                          </w:r>
                          <w:r>
                            <w:rPr>
                              <w:sz w:val="24"/>
                            </w:rPr>
                            <w:fldChar w:fldCharType="separate"/>
                          </w:r>
                          <w:r w:rsidR="00CF5856">
                            <w:rPr>
                              <w:noProof/>
                              <w:sz w:val="24"/>
                            </w:rPr>
                            <w:t>2</w:t>
                          </w:r>
                          <w:r>
                            <w:rPr>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9337F" w:rsidRDefault="003A3FB3">
                    <w:pPr>
                      <w:pStyle w:val="a3"/>
                    </w:pPr>
                    <w:r>
                      <w:rPr>
                        <w:sz w:val="24"/>
                      </w:rPr>
                      <w:fldChar w:fldCharType="begin"/>
                    </w:r>
                    <w:r>
                      <w:rPr>
                        <w:sz w:val="24"/>
                      </w:rPr>
                      <w:instrText xml:space="preserve"> PAGE  \* MERGEFORMAT </w:instrText>
                    </w:r>
                    <w:r>
                      <w:rPr>
                        <w:sz w:val="24"/>
                      </w:rPr>
                      <w:fldChar w:fldCharType="separate"/>
                    </w:r>
                    <w:r w:rsidR="00CF5856">
                      <w:rPr>
                        <w:noProof/>
                        <w:sz w:val="24"/>
                      </w:rPr>
                      <w:t>2</w:t>
                    </w:r>
                    <w:r>
                      <w:rPr>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D6" w:rsidRDefault="006170D6">
      <w:r>
        <w:separator/>
      </w:r>
    </w:p>
  </w:footnote>
  <w:footnote w:type="continuationSeparator" w:id="0">
    <w:p w:rsidR="006170D6" w:rsidRDefault="0061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27E1"/>
    <w:rsid w:val="003A3FB3"/>
    <w:rsid w:val="006170D6"/>
    <w:rsid w:val="006458AA"/>
    <w:rsid w:val="00836EB9"/>
    <w:rsid w:val="00CF5856"/>
    <w:rsid w:val="00E4511C"/>
    <w:rsid w:val="00E5310F"/>
    <w:rsid w:val="00E9337F"/>
    <w:rsid w:val="037A591E"/>
    <w:rsid w:val="0A0C4903"/>
    <w:rsid w:val="0DDC0A99"/>
    <w:rsid w:val="0F806AF6"/>
    <w:rsid w:val="19BF4A89"/>
    <w:rsid w:val="1DCB295C"/>
    <w:rsid w:val="1E091B80"/>
    <w:rsid w:val="20010ECE"/>
    <w:rsid w:val="46E209DA"/>
    <w:rsid w:val="53D0076B"/>
    <w:rsid w:val="5C004BCF"/>
    <w:rsid w:val="7EEE2D04"/>
    <w:rsid w:val="7F6F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B3D50"/>
  <w15:docId w15:val="{20AE3F5E-71F3-46B3-A8D1-B3B77154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1115</Words>
  <Characters>6362</Characters>
  <Application>Microsoft Office Word</Application>
  <DocSecurity>0</DocSecurity>
  <Lines>53</Lines>
  <Paragraphs>14</Paragraphs>
  <ScaleCrop>false</ScaleCrop>
  <Company>Hewlett-Packard Company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sdkjkyc2018</cp:lastModifiedBy>
  <cp:revision>6</cp:revision>
  <cp:lastPrinted>2021-03-16T01:12:00Z</cp:lastPrinted>
  <dcterms:created xsi:type="dcterms:W3CDTF">2021-03-15T12:18:00Z</dcterms:created>
  <dcterms:modified xsi:type="dcterms:W3CDTF">2021-09-30T08:41:00Z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931663B5C1CC4E3FAE46E65D67740568</vt:lpwstr>
  </property>
</Properties>
</file>