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ascii="宋体" w:hAnsi="宋体"/>
          <w:b/>
          <w:color w:val="FF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青岛市</w:t>
      </w:r>
      <w:r>
        <w:rPr>
          <w:rFonts w:hint="eastAsia" w:ascii="宋体" w:hAnsi="宋体"/>
          <w:b/>
          <w:color w:val="000000"/>
          <w:sz w:val="36"/>
          <w:szCs w:val="36"/>
        </w:rPr>
        <w:t>科学技术奖提名公示内容-</w:t>
      </w:r>
      <w:r>
        <w:rPr>
          <w:rFonts w:hint="eastAsia" w:ascii="宋体" w:hAnsi="宋体"/>
          <w:b/>
          <w:color w:val="auto"/>
          <w:sz w:val="36"/>
          <w:szCs w:val="36"/>
        </w:rPr>
        <w:t>科技进步奖</w:t>
      </w:r>
    </w:p>
    <w:p>
      <w:pPr>
        <w:spacing w:line="360" w:lineRule="auto"/>
        <w:jc w:val="center"/>
        <w:rPr>
          <w:rFonts w:ascii="方正小标宋简体" w:hAnsi="宋体"/>
          <w:bCs/>
          <w:color w:val="000000"/>
          <w:sz w:val="36"/>
          <w:szCs w:val="36"/>
        </w:rPr>
      </w:pPr>
      <w:r>
        <w:rPr>
          <w:rFonts w:hint="eastAsia" w:ascii="方正小标宋简体" w:hAnsi="宋体"/>
          <w:bCs/>
          <w:color w:val="000000"/>
          <w:sz w:val="36"/>
          <w:szCs w:val="36"/>
        </w:rPr>
        <w:t>（</w:t>
      </w:r>
      <w:r>
        <w:rPr>
          <w:rFonts w:hint="eastAsia" w:ascii="宋体" w:hAnsi="宋体"/>
          <w:color w:val="000000"/>
          <w:sz w:val="36"/>
          <w:szCs w:val="24"/>
        </w:rPr>
        <w:t>2022</w:t>
      </w:r>
      <w:r>
        <w:rPr>
          <w:rFonts w:hint="eastAsia" w:ascii="方正小标宋简体" w:hAnsi="宋体"/>
          <w:bCs/>
          <w:color w:val="000000"/>
          <w:sz w:val="36"/>
          <w:szCs w:val="36"/>
        </w:rPr>
        <w:t>年度）</w:t>
      </w:r>
    </w:p>
    <w:p>
      <w:pPr>
        <w:spacing w:line="440" w:lineRule="exact"/>
        <w:ind w:firstLine="562" w:firstLineChars="20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000000"/>
          <w:sz w:val="24"/>
          <w:szCs w:val="24"/>
          <w:lang w:val="en-US" w:eastAsia="zh-CN"/>
        </w:rPr>
        <w:t>城市在役电梯安全运行保障关键技术及装备</w:t>
      </w:r>
    </w:p>
    <w:p>
      <w:pPr>
        <w:spacing w:line="440" w:lineRule="exact"/>
        <w:ind w:firstLine="560" w:firstLineChars="200"/>
        <w:jc w:val="left"/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ind w:firstLine="562" w:firstLineChars="200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二、推荐单位（专家）及推荐意见</w:t>
      </w:r>
    </w:p>
    <w:p>
      <w:pPr>
        <w:pStyle w:val="4"/>
        <w:spacing w:line="440" w:lineRule="exact"/>
        <w:ind w:firstLine="560"/>
        <w:rPr>
          <w:rFonts w:hint="eastAsia" w:ascii="宋体" w:hAnsi="宋体"/>
          <w:bCs/>
        </w:rPr>
      </w:pPr>
      <w:r>
        <w:rPr>
          <w:rFonts w:hint="eastAsia" w:ascii="宋体" w:hAnsi="宋体"/>
          <w:bCs/>
          <w:lang w:val="en-US" w:eastAsia="zh-CN"/>
        </w:rPr>
        <w:t>如</w:t>
      </w:r>
      <w:r>
        <w:rPr>
          <w:rFonts w:hint="eastAsia" w:ascii="宋体" w:hAnsi="宋体"/>
          <w:bCs/>
        </w:rPr>
        <w:t>何实现电梯的高效精准检测、如何推进维保监管的智能化水平、如何提升电梯运行的安全性能是我省电梯行业的三大运营难题，</w:t>
      </w:r>
      <w:r>
        <w:rPr>
          <w:rFonts w:hint="eastAsia" w:ascii="宋体" w:hAnsi="宋体"/>
          <w:bCs/>
          <w:lang w:val="en-US" w:eastAsia="zh-CN"/>
        </w:rPr>
        <w:t>针对上述问题，山东科技大学、青岛特种设备检测研究院、沈阳特种设备检测研究院、桂林电子科技大学、青岛正信科技有限公司开展了</w:t>
      </w:r>
      <w:r>
        <w:rPr>
          <w:rFonts w:hint="eastAsia" w:ascii="宋体" w:hAnsi="宋体"/>
          <w:bCs/>
        </w:rPr>
        <w:t>城市在</w:t>
      </w:r>
      <w:r>
        <w:rPr>
          <w:rFonts w:hint="eastAsia" w:ascii="宋体" w:hAnsi="宋体"/>
          <w:bCs/>
          <w:lang w:val="en-US" w:eastAsia="zh-CN"/>
        </w:rPr>
        <w:t>役</w:t>
      </w:r>
      <w:r>
        <w:rPr>
          <w:rFonts w:hint="eastAsia" w:ascii="宋体" w:hAnsi="宋体"/>
          <w:bCs/>
        </w:rPr>
        <w:t>电梯安全运行保障</w:t>
      </w:r>
      <w:r>
        <w:rPr>
          <w:rFonts w:hint="eastAsia" w:ascii="宋体" w:hAnsi="宋体"/>
          <w:bCs/>
          <w:lang w:val="en-US" w:eastAsia="zh-CN"/>
        </w:rPr>
        <w:t>关键</w:t>
      </w:r>
      <w:r>
        <w:rPr>
          <w:rFonts w:hint="eastAsia" w:ascii="宋体" w:hAnsi="宋体"/>
          <w:bCs/>
        </w:rPr>
        <w:t>技术及装备</w:t>
      </w:r>
      <w:r>
        <w:rPr>
          <w:rFonts w:hint="eastAsia" w:ascii="宋体" w:hAnsi="宋体"/>
          <w:bCs/>
          <w:lang w:val="en-US" w:eastAsia="zh-CN"/>
        </w:rPr>
        <w:t>研究</w:t>
      </w:r>
      <w:r>
        <w:rPr>
          <w:rFonts w:hint="eastAsia" w:ascii="宋体" w:hAnsi="宋体"/>
          <w:bCs/>
        </w:rPr>
        <w:t>。</w:t>
      </w:r>
      <w:r>
        <w:rPr>
          <w:rFonts w:hint="eastAsia" w:ascii="宋体" w:hAnsi="宋体"/>
          <w:bCs/>
          <w:lang w:val="en-US" w:eastAsia="zh-CN"/>
        </w:rPr>
        <w:t>通过</w:t>
      </w:r>
      <w:r>
        <w:rPr>
          <w:rFonts w:hint="eastAsia" w:ascii="宋体" w:hAnsi="宋体"/>
          <w:bCs/>
        </w:rPr>
        <w:t>研发</w:t>
      </w:r>
      <w:r>
        <w:rPr>
          <w:rFonts w:hint="eastAsia" w:ascii="宋体" w:hAnsi="宋体"/>
          <w:bCs/>
          <w:lang w:val="en-US" w:eastAsia="zh-CN"/>
        </w:rPr>
        <w:t>智能</w:t>
      </w:r>
      <w:r>
        <w:rPr>
          <w:rFonts w:hint="eastAsia" w:ascii="宋体" w:hAnsi="宋体"/>
          <w:bCs/>
        </w:rPr>
        <w:t>便携式电梯检测仪</w:t>
      </w:r>
      <w:r>
        <w:rPr>
          <w:rFonts w:hint="eastAsia" w:ascii="宋体" w:hAnsi="宋体"/>
          <w:bCs/>
          <w:lang w:val="en-US" w:eastAsia="zh-CN"/>
        </w:rPr>
        <w:t>和</w:t>
      </w:r>
      <w:r>
        <w:rPr>
          <w:rFonts w:hint="eastAsia" w:ascii="宋体" w:hAnsi="宋体"/>
          <w:bCs/>
        </w:rPr>
        <w:t>电梯安全监测管理系统，实现了电梯检测的免录入式分析和运行维保的智能监管。为电梯井道壁状态实时准确监管提供重要保障，为监管部门人员获得实时、准确、可靠的信息提供重要依据，保证了曳引式电梯长期安全、稳定运行，解决了故障突发率高、数据不可靠、管控不及时、维修困难等问题。项目</w:t>
      </w:r>
      <w:r>
        <w:rPr>
          <w:rFonts w:hint="eastAsia" w:ascii="宋体" w:hAnsi="宋体"/>
          <w:bCs/>
          <w:lang w:val="en-US" w:eastAsia="zh-CN"/>
        </w:rPr>
        <w:t>发明</w:t>
      </w:r>
      <w:r>
        <w:rPr>
          <w:rFonts w:hint="eastAsia" w:ascii="宋体" w:hAnsi="宋体"/>
          <w:bCs/>
        </w:rPr>
        <w:t>成果为我省电梯监管部门、电梯检验单位、电梯认证机构、电梯制造企业、维护保养单位等提供</w:t>
      </w:r>
      <w:r>
        <w:rPr>
          <w:rFonts w:hint="eastAsia" w:ascii="宋体" w:hAnsi="宋体"/>
          <w:bCs/>
          <w:lang w:val="en-US" w:eastAsia="zh-CN"/>
        </w:rPr>
        <w:t>了</w:t>
      </w:r>
      <w:r>
        <w:rPr>
          <w:rFonts w:hint="eastAsia" w:ascii="宋体" w:hAnsi="宋体"/>
          <w:bCs/>
        </w:rPr>
        <w:t>一种快速精准识别的新方法，为电梯应急性管理关键技术发展提供重要保障，为电梯智能化发展</w:t>
      </w:r>
      <w:r>
        <w:rPr>
          <w:rFonts w:hint="eastAsia" w:ascii="宋体" w:hAnsi="宋体"/>
          <w:bCs/>
          <w:lang w:val="en-US" w:eastAsia="zh-CN"/>
        </w:rPr>
        <w:t>奠定</w:t>
      </w:r>
      <w:r>
        <w:rPr>
          <w:rFonts w:hint="eastAsia" w:ascii="宋体" w:hAnsi="宋体"/>
          <w:bCs/>
        </w:rPr>
        <w:t>了重要基础。</w:t>
      </w:r>
    </w:p>
    <w:p>
      <w:pPr>
        <w:pStyle w:val="4"/>
        <w:spacing w:line="440" w:lineRule="exact"/>
        <w:ind w:firstLine="56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项目获发明专利</w:t>
      </w:r>
      <w:r>
        <w:rPr>
          <w:rFonts w:hint="eastAsia" w:ascii="宋体" w:hAnsi="宋体"/>
          <w:bCs/>
          <w:lang w:val="en-US" w:eastAsia="zh-CN"/>
        </w:rPr>
        <w:t>12</w:t>
      </w:r>
      <w:r>
        <w:rPr>
          <w:rFonts w:hint="eastAsia" w:ascii="宋体" w:hAnsi="宋体"/>
          <w:bCs/>
        </w:rPr>
        <w:t>项（其中</w:t>
      </w:r>
      <w:r>
        <w:rPr>
          <w:rFonts w:hint="eastAsia" w:ascii="宋体" w:hAnsi="宋体"/>
          <w:bCs/>
          <w:lang w:val="en-US" w:eastAsia="zh-CN"/>
        </w:rPr>
        <w:t>国际</w:t>
      </w:r>
      <w:r>
        <w:rPr>
          <w:rFonts w:hint="eastAsia" w:ascii="宋体" w:hAnsi="宋体"/>
          <w:bCs/>
        </w:rPr>
        <w:t>专利</w:t>
      </w:r>
      <w:r>
        <w:rPr>
          <w:rFonts w:hint="eastAsia" w:ascii="宋体" w:hAnsi="宋体"/>
          <w:bCs/>
          <w:lang w:val="en-US" w:eastAsia="zh-CN"/>
        </w:rPr>
        <w:t>8</w:t>
      </w:r>
      <w:r>
        <w:rPr>
          <w:rFonts w:hint="eastAsia" w:ascii="宋体" w:hAnsi="宋体"/>
          <w:bCs/>
        </w:rPr>
        <w:t>项），实用新型专利</w:t>
      </w:r>
      <w:r>
        <w:rPr>
          <w:rFonts w:hint="eastAsia" w:ascii="宋体" w:hAnsi="宋体"/>
          <w:bCs/>
          <w:lang w:val="en-US" w:eastAsia="zh-CN"/>
        </w:rPr>
        <w:t>4</w:t>
      </w:r>
      <w:r>
        <w:rPr>
          <w:rFonts w:hint="eastAsia" w:ascii="宋体" w:hAnsi="宋体"/>
          <w:bCs/>
        </w:rPr>
        <w:t>项，</w:t>
      </w:r>
      <w:r>
        <w:rPr>
          <w:rFonts w:hint="eastAsia" w:ascii="宋体" w:hAnsi="宋体"/>
          <w:bCs/>
          <w:lang w:val="en-US" w:eastAsia="zh-CN"/>
        </w:rPr>
        <w:t>软件著作权7项，</w:t>
      </w:r>
      <w:r>
        <w:rPr>
          <w:rFonts w:hint="eastAsia" w:ascii="宋体" w:hAnsi="宋体"/>
          <w:bCs/>
        </w:rPr>
        <w:t>制定地方标准2项，</w:t>
      </w:r>
      <w:r>
        <w:rPr>
          <w:rFonts w:hint="eastAsia" w:ascii="宋体" w:hAnsi="宋体"/>
          <w:bCs/>
          <w:lang w:val="en-US" w:eastAsia="zh-CN"/>
        </w:rPr>
        <w:t>研究成果在山东省、辽宁省进行推广应用，共计覆盖在役电梯超过50万部，累积产生直接经济效益9,365万元，</w:t>
      </w:r>
      <w:r>
        <w:rPr>
          <w:rFonts w:hint="eastAsia" w:ascii="宋体" w:hAnsi="宋体"/>
          <w:bCs/>
        </w:rPr>
        <w:t>解决了电梯故障突发率高、数据不可靠、管控不及时、维修困难等问题，实现了电梯市场监管领域安全、可靠的应急性服务管理，推动了我省电梯智能化发展进程。</w:t>
      </w:r>
    </w:p>
    <w:p>
      <w:pPr>
        <w:pStyle w:val="4"/>
        <w:spacing w:line="440" w:lineRule="exact"/>
        <w:ind w:firstLine="560"/>
        <w:rPr>
          <w:rFonts w:hint="eastAsia" w:ascii="宋体" w:hAnsi="宋体"/>
          <w:bCs/>
        </w:rPr>
      </w:pPr>
    </w:p>
    <w:p>
      <w:pPr>
        <w:spacing w:line="440" w:lineRule="exact"/>
        <w:ind w:firstLine="562" w:firstLineChars="20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推荐</w:t>
      </w:r>
      <w:r>
        <w:rPr>
          <w:rFonts w:ascii="宋体" w:hAnsi="宋体"/>
          <w:b/>
          <w:color w:val="000000"/>
          <w:sz w:val="28"/>
          <w:szCs w:val="28"/>
        </w:rPr>
        <w:t>等级</w:t>
      </w:r>
    </w:p>
    <w:p>
      <w:pPr>
        <w:spacing w:line="440" w:lineRule="exact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</w:rPr>
      </w:pPr>
      <w:r>
        <w:rPr>
          <w:rFonts w:hint="default" w:ascii="宋体" w:hAnsi="宋体"/>
          <w:color w:val="000000"/>
          <w:sz w:val="24"/>
          <w:szCs w:val="24"/>
        </w:rPr>
        <w:t>推荐该项目为2022年度青岛市科技进步奖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二</w:t>
      </w:r>
      <w:r>
        <w:rPr>
          <w:rFonts w:hint="default" w:ascii="宋体" w:hAnsi="宋体"/>
          <w:color w:val="000000"/>
          <w:sz w:val="24"/>
          <w:szCs w:val="24"/>
        </w:rPr>
        <w:t>等奖。</w:t>
      </w:r>
    </w:p>
    <w:p>
      <w:pPr>
        <w:pStyle w:val="2"/>
      </w:pPr>
    </w:p>
    <w:p>
      <w:pPr>
        <w:spacing w:line="440" w:lineRule="exact"/>
        <w:ind w:firstLine="562" w:firstLineChars="20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</w:rPr>
        <w:t>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该项目属于特种设备领域中信息检测与智能监管。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目前我省于电梯应急处置服务平台登记的在用电梯数量已超过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48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万部，电梯的检修和维保工作是保护人员安全、保障设备稳定的重要环节之一，而当前大部分检测工作主要依靠维修工人手动检测，使得检测工作效率低、识别误差较大、时效性差。如何实现电梯的高效精准检测、如何推进维保监管的智能化水平、如何提升电梯运行的安全性能是电梯行业的三大运营难题。为此项目基于传感技术、物联网云平台等交叉学科开展了城市在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电梯安全运行保障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关键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技术及装备研究，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发明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了智能便携式电梯检测仪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、研发了基于边缘计算的电梯在线监测系统、构建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了电梯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运维管控数据大平台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，实现了城市在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电梯的安全运行保障。项目主要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创新点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-SA"/>
        </w:rPr>
        <w:t>创新点1：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发明了智能便携式电梯检测仪。提出了多项电梯自动检测方法与技术，整合了各类传感数据与测试信息，形成了用于电梯智能检测的多信息融合诊断算法，建立了电梯检测仪与外部移动终端的物联网数据传输系统，实现了电梯测试参数的实时控制和检测数据的免录入式分析，解决了传统检测方法耗时长、精确性差、劳动强度大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-SA"/>
        </w:rPr>
        <w:t>创新点2：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研发了基于边缘计算的电梯在线监测系统，建立了特种设备信息资源分类方法与编码规则，提出了数据质量评价、安全追溯、法律法规和事故案例知识图谱、特种设备数据挖掘技术及可视化分析等多源数据分析利用基础方法，研制了低延时、高精度在线监测技术，提出了基于多源数据分析的典型特种设备损伤、故障预测技术，实现了对在役电梯各项关键运行参数的实时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-SA"/>
        </w:rPr>
        <w:t>创新点3：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构建了城市地区电梯运维管控数据大平台，通过监控点现场控制、GPRS数据传输和远程监控通信服务中心，实现了移动端检验系统与服务端系统的数据传输，建立了分布式电梯集中管理方法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实现了电梯运行监测-故障预警诊断-智能派工维修的高度集约式管理。并结合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电梯管理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与社区党建融合的管控模式，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提升社区人员管控与防疫管理水平。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color w:val="000000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该项目获发明专利1</w:t>
      </w:r>
      <w:r>
        <w:rPr>
          <w:rFonts w:hint="eastAsia" w:ascii="Times New Roman" w:hAnsi="Times New Roman" w:cs="Times New Roman"/>
          <w:kern w:val="0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项（</w:t>
      </w:r>
      <w:r>
        <w:rPr>
          <w:rFonts w:hint="eastAsia" w:ascii="Times New Roman" w:hAnsi="Times New Roman" w:cs="Times New Roman"/>
          <w:kern w:val="0"/>
          <w:sz w:val="24"/>
          <w:szCs w:val="24"/>
          <w:highlight w:val="none"/>
          <w:lang w:val="en-US" w:eastAsia="zh-CN" w:bidi="ar-SA"/>
        </w:rPr>
        <w:t>PCT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专利</w:t>
      </w:r>
      <w:r>
        <w:rPr>
          <w:rFonts w:hint="eastAsia" w:ascii="Times New Roman" w:hAnsi="Times New Roman" w:cs="Times New Roman"/>
          <w:kern w:val="0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项），实用新型专利4项，软件著作权7项，制定地方标准2项，培养博士后1人，博士生3人，硕士生20余人。项目应用推广期间取得了重大经济社会效益，累计获得销售额9,365万元、利润2,483万元，解决了电梯故障突发率高、数据不可靠、管控不及时、维修困难等问题，实现了电梯市场监管领域安全、可靠的应急性服务管理，推动了我省电梯智能化发展进程。</w:t>
      </w:r>
    </w:p>
    <w:p>
      <w:pPr>
        <w:pStyle w:val="2"/>
      </w:pPr>
    </w:p>
    <w:p>
      <w:pPr>
        <w:spacing w:line="440" w:lineRule="exact"/>
        <w:ind w:firstLine="562" w:firstLineChars="20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</w:rPr>
        <w:t>、主要知识产权和标准规范等目录</w:t>
      </w:r>
    </w:p>
    <w:tbl>
      <w:tblPr>
        <w:tblStyle w:val="8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知识产权</w:t>
            </w:r>
            <w:r>
              <w:rPr>
                <w:rFonts w:hint="eastAsia" w:ascii="宋体" w:hAnsi="宋体"/>
                <w:sz w:val="21"/>
              </w:rPr>
              <w:t>（标准）</w:t>
            </w:r>
            <w:r>
              <w:rPr>
                <w:rFonts w:ascii="宋体" w:hAnsi="宋体"/>
                <w:sz w:val="21"/>
              </w:rPr>
              <w:t>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知识产权（标准）具体</w:t>
            </w:r>
            <w:r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国</w:t>
            </w:r>
            <w:r>
              <w:rPr>
                <w:rFonts w:hint="eastAsia" w:ascii="宋体" w:hAnsi="宋体"/>
                <w:sz w:val="21"/>
              </w:rPr>
              <w:t>家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（</w:t>
            </w:r>
            <w:r>
              <w:rPr>
                <w:rFonts w:hint="eastAsia" w:ascii="宋体" w:hAnsi="宋体"/>
                <w:sz w:val="21"/>
              </w:rPr>
              <w:t>地</w:t>
            </w:r>
            <w:r>
              <w:rPr>
                <w:rFonts w:ascii="宋体" w:hAnsi="宋体"/>
                <w:sz w:val="21"/>
              </w:rPr>
              <w:t>区）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授权号（标准编号）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授权（标准发布）日期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证书编号（标准批准发布</w:t>
            </w:r>
            <w:r>
              <w:rPr>
                <w:rFonts w:ascii="宋体" w:hAnsi="宋体"/>
                <w:sz w:val="21"/>
              </w:rPr>
              <w:t>部门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权利人（标准起草单位）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发明人（标准起草人）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一种电梯曳引钢丝绳剩余寿命在线预测系统及方法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  <w:t>ZL201811512242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2021.08.20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4625203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山东科技大学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张强；代晓丹；田莹；张东钥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一种弹簧式电梯缓冲失效检测评定系统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ZL201910320358.5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2020.08.28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3959078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山东科技大学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张佳瑶；田莹；孙绍安；冯辉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一种电梯曳引轮磨损程度定量化分析及寿命预测方法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ZL202111018782.8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2022.08.19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5395823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桂林电子科技大学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王海舰；吴真昱；谢飞；于浩洋；国宝；晏洪财；谷川；李昕咛；鲍琳琳；孙佰聪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P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CT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专利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No-Load Type Elevator Test Device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法国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PCT/CN2019/115427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2019.11.04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WO/2020/098525A1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山东科技大学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张强；米豪鼎；田莹；冯辉；谢飞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P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CT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专利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Distributed Elevator Monitoring Platform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法国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PCT/CN2019/120997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2019.11.26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WO/2020/108487A1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山东科技大学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张强；冯辉；付子彧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P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CT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专利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 xml:space="preserve">Urban Elevator Spare Part Storage Controlling System Driven on 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 xml:space="preserve">he Basis 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o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 xml:space="preserve">f Big 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o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f Big Data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法国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</w:rPr>
              <w:t>PCT/CN2019/115354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019.11.4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W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O/2020/103682A1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山东科技大学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张强；米豪鼎；田莹；冯辉；沈洪岩；谢飞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PCT专利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Elevator Status Multi-information Fusion Diagnosis Method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法国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PCT/CN2019/121687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2019.11.28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WO/2020/114315A1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山东科技大学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张强；刘思远；田莹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P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CT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专利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 xml:space="preserve">Urban Elevator Intelligent Dispatching Inspection System Based 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o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n Big Data Drive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法国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</w:rPr>
              <w:t>PCT/CN2019/115344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019.11.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W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O/2020/093969A1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山东科技大学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张强；李新洲；米豪鼎；黄宇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P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CT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专利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Magnetic Ring Induction-type Elevator Power Supply System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法国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</w:rPr>
              <w:t>PCT/CN2019/115431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019.11.4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W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O/2020/108235A1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山东科技大学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张强；沈洪岩；田莹；丁春辉；胡熙玉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P</w:t>
            </w:r>
            <w:r>
              <w:rPr>
                <w:rFonts w:ascii="Times New Roman" w:hAnsi="Times New Roman"/>
                <w:color w:val="000000"/>
                <w:kern w:val="2"/>
                <w:sz w:val="21"/>
              </w:rPr>
              <w:t>CT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专利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Online Prediction System and Method for Remaining Service Life of Elevator Traction Steel Wire Rope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lang w:val="en-US" w:eastAsia="zh-CN"/>
              </w:rPr>
              <w:t>法国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</w:rPr>
              <w:t>PCT/CN2019/1</w:t>
            </w: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21688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2019.11.28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WO/2020/119470A1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山东科技大学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lang w:val="en-US" w:eastAsia="zh-CN"/>
              </w:rPr>
              <w:t>张强；代晓丹；田莹；张东钥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</w:rPr>
              <w:t>有效</w:t>
            </w:r>
          </w:p>
        </w:tc>
      </w:tr>
    </w:tbl>
    <w:p>
      <w:pPr>
        <w:spacing w:line="440" w:lineRule="exact"/>
        <w:ind w:firstLine="562" w:firstLineChars="200"/>
        <w:jc w:val="left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40" w:lineRule="exact"/>
        <w:ind w:firstLine="562" w:firstLineChars="20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七、主要完成人情况</w:t>
      </w:r>
    </w:p>
    <w:tbl>
      <w:tblPr>
        <w:tblStyle w:val="9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姓名</w:t>
            </w:r>
          </w:p>
        </w:tc>
        <w:tc>
          <w:tcPr>
            <w:tcW w:w="1217" w:type="dxa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排名</w:t>
            </w:r>
          </w:p>
        </w:tc>
        <w:tc>
          <w:tcPr>
            <w:tcW w:w="1217" w:type="dxa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行政职务</w:t>
            </w:r>
          </w:p>
        </w:tc>
        <w:tc>
          <w:tcPr>
            <w:tcW w:w="1217" w:type="dxa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技术职称</w:t>
            </w:r>
          </w:p>
        </w:tc>
        <w:tc>
          <w:tcPr>
            <w:tcW w:w="1218" w:type="dxa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工作单位</w:t>
            </w:r>
          </w:p>
        </w:tc>
        <w:tc>
          <w:tcPr>
            <w:tcW w:w="1218" w:type="dxa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完成单位</w:t>
            </w:r>
          </w:p>
        </w:tc>
        <w:tc>
          <w:tcPr>
            <w:tcW w:w="2160" w:type="dxa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对本项目贡献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张强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院长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教授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对项目创新点1、2、3做出创造性贡献，提出了电梯智能检测仪和电梯远程监测系统的总体设计规划。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谢飞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部长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高级工程师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沈阳特种设备检测研究院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沈阳特种设备检测研究院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对项目创新点1、3做出创造性贡献，主要研究了城市电梯大数据平台的数据融合问题。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王聪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讲师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对项目创新点2、3做出创造性贡献，主要研究了电梯远程监测系统的算法更新迭代问题。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田莹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教授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对项目创新点1、2做出创造性贡献，主要研究了用于测量电梯关键参数的传感技术。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王海舰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副教授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桂林电子科技大学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桂林电子科技大学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对项目创新点1、3做出创造性贡献，主要研究了便携式电梯检测仪的数据反馈与分析功能。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孙常亮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部长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工程师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青岛市特种设备检验研究院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青岛市特种设备检验研究院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对项目创新点1做出创造性贡献，主要负责了电梯检测仪在青岛</w:t>
            </w: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的应用推广工作。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顾颉颖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讲师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对项目创新点1、2做出创造性贡献，主要研究了电梯监测数据与故障诊断之间的定量关系。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曹正强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总经理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无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青岛正信科技有限公司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青岛正信科技有限公司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对项目创新点3做出创造性贡献，主要研究了电梯远程监测系统与电梯关键部件的软件融合。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刘峻铭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讲师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lang w:val="en-US" w:eastAsia="zh-CN"/>
              </w:rPr>
              <w:t>对项目创新点2做出创造性贡献，主要研究了电梯检测信息的边缘计算方法。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张润鑫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无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博士生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山东科技大学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lang w:val="en-US" w:eastAsia="zh-CN"/>
              </w:rPr>
              <w:t>对项目创新点3做出创造性贡献，主要研究了电梯大数据平台建模。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注：</w:t>
      </w: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hint="eastAsia" w:ascii="宋体" w:hAnsi="宋体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hint="eastAsia" w:ascii="宋体" w:hAnsi="宋体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>
      <w:pPr>
        <w:pStyle w:val="2"/>
      </w:pPr>
    </w:p>
    <w:p>
      <w:pPr>
        <w:spacing w:line="440" w:lineRule="exact"/>
        <w:ind w:firstLine="562" w:firstLineChars="200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八、主要完成单位情况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  <w:t>山东科技大学，项目主持单位。提出了无载荷形式的电梯试验测试方法，研发了电梯梳齿板及啮合深度的检测装置及方法，解决了电梯检测工作中人为比对环节效率低、劳动强度大、可靠性差等问题。</w:t>
      </w:r>
    </w:p>
    <w:p>
      <w:pPr>
        <w:spacing w:line="440" w:lineRule="exact"/>
        <w:ind w:firstLine="480" w:firstLineChars="200"/>
        <w:rPr>
          <w:rFonts w:hint="eastAsia" w:cs="Times New Roman"/>
          <w:color w:val="00000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  <w:t>青岛特种设备检测研究院，项目参研单位。参与了智能便携式电梯检测仪的研究工作，并在青岛市范围内进行了应用推广，应用期间共提升电梯检验数量约4.3万部，进一步提升了在役电梯的安全性</w:t>
      </w:r>
      <w:r>
        <w:rPr>
          <w:rFonts w:hint="eastAsia" w:cs="Times New Roman"/>
          <w:color w:val="000000"/>
          <w:sz w:val="24"/>
          <w:szCs w:val="32"/>
          <w:lang w:val="en-US" w:eastAsia="zh-CN"/>
        </w:rPr>
        <w:t>。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  <w:t>沈阳特种设备检测研究院，项目主研单位。发明了智能便携式电梯检测仪，并将其在沈阳在役电梯的检测工作中进行了应用推广，实现了电梯测试参数的实时控制和检测数据的免录入式分析。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  <w:t>桂林电子科技大学，项目主研单位。整合了电梯检测环节中各类传感数据与测试信息，形成了用于电梯智能检测的多信息融合诊断算法。构建了基于熵权法和证据理论的电梯云评估模型。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32"/>
        </w:rPr>
      </w:pPr>
      <w:r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  <w:t>青岛正信科技有限公司，项目参研单位。参与了城市电梯安全监测系统的研发工作，并以产品形式在青岛市范围内进行了推广，应用期间共售出监测系统300余套，且用户评价良好。</w:t>
      </w: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5NmNkMzBhNmRmNTIxZWQ1ZTdmY2FjOWQ3MjAyODgifQ=="/>
  </w:docVars>
  <w:rsids>
    <w:rsidRoot w:val="006E3748"/>
    <w:rsid w:val="000C7E77"/>
    <w:rsid w:val="00155CA1"/>
    <w:rsid w:val="00204151"/>
    <w:rsid w:val="00252AE8"/>
    <w:rsid w:val="00502346"/>
    <w:rsid w:val="005B3E85"/>
    <w:rsid w:val="005F3EC2"/>
    <w:rsid w:val="006877C2"/>
    <w:rsid w:val="006E3748"/>
    <w:rsid w:val="006F1C9A"/>
    <w:rsid w:val="00741011"/>
    <w:rsid w:val="008075E4"/>
    <w:rsid w:val="009B2663"/>
    <w:rsid w:val="00A074DA"/>
    <w:rsid w:val="00A60389"/>
    <w:rsid w:val="00AA2110"/>
    <w:rsid w:val="00BB200E"/>
    <w:rsid w:val="00CD6515"/>
    <w:rsid w:val="00D823E4"/>
    <w:rsid w:val="00D92F77"/>
    <w:rsid w:val="00DC7D73"/>
    <w:rsid w:val="00DE5637"/>
    <w:rsid w:val="00DE65F0"/>
    <w:rsid w:val="00E00AC3"/>
    <w:rsid w:val="00E17EA0"/>
    <w:rsid w:val="00E4648A"/>
    <w:rsid w:val="00E62322"/>
    <w:rsid w:val="00EE5751"/>
    <w:rsid w:val="00FA2A67"/>
    <w:rsid w:val="05B3608A"/>
    <w:rsid w:val="0C961555"/>
    <w:rsid w:val="0D0F7B8A"/>
    <w:rsid w:val="13005A72"/>
    <w:rsid w:val="16223083"/>
    <w:rsid w:val="18023FB5"/>
    <w:rsid w:val="18786026"/>
    <w:rsid w:val="18CD4F1B"/>
    <w:rsid w:val="19A312AE"/>
    <w:rsid w:val="1A7867B1"/>
    <w:rsid w:val="1C970CCA"/>
    <w:rsid w:val="20915166"/>
    <w:rsid w:val="20A85BA7"/>
    <w:rsid w:val="22AE5A4D"/>
    <w:rsid w:val="23E42CBC"/>
    <w:rsid w:val="2D365524"/>
    <w:rsid w:val="35B73FB6"/>
    <w:rsid w:val="38EA4660"/>
    <w:rsid w:val="4080460F"/>
    <w:rsid w:val="42A463CD"/>
    <w:rsid w:val="44C77869"/>
    <w:rsid w:val="46C93FC7"/>
    <w:rsid w:val="4861055B"/>
    <w:rsid w:val="48A167F5"/>
    <w:rsid w:val="48BA396D"/>
    <w:rsid w:val="54DC0E24"/>
    <w:rsid w:val="55755020"/>
    <w:rsid w:val="5DC21C7D"/>
    <w:rsid w:val="623F0B37"/>
    <w:rsid w:val="63E75CC4"/>
    <w:rsid w:val="789F0530"/>
    <w:rsid w:val="79A4194C"/>
    <w:rsid w:val="7CD16EBE"/>
    <w:rsid w:val="7E0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10"/>
    <w:link w:val="4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4">
    <w:name w:val="纯文本 Char1"/>
    <w:qFormat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3312</Words>
  <Characters>4063</Characters>
  <Lines>10</Lines>
  <Paragraphs>3</Paragraphs>
  <TotalTime>0</TotalTime>
  <ScaleCrop>false</ScaleCrop>
  <LinksUpToDate>false</LinksUpToDate>
  <CharactersWithSpaces>4120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2022-01-28T01:22:00Z</dcterms:created>
  <dc:creator>韩韬略</dc:creator>
  <cp:lastModifiedBy>Boogie Neo</cp:lastModifiedBy>
  <dcterms:modified xsi:type="dcterms:W3CDTF">2022-09-11T12:38:05Z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51D87B116DF849C1B75FB235B3C8E712</vt:lpwstr>
  </property>
</Properties>
</file>