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hAnsi="Times New Roman" w:eastAsia="方正小标宋_GBK"/>
          <w:color w:val="FF0000"/>
          <w:spacing w:val="-20"/>
          <w:w w:val="60"/>
          <w:kern w:val="22"/>
          <w:sz w:val="11"/>
          <w:szCs w:val="11"/>
        </w:rPr>
      </w:pPr>
      <w:r>
        <w:rPr>
          <w:rFonts w:hint="eastAsia" w:ascii="方正小标宋_GBK" w:hAnsi="Times New Roman" w:eastAsia="方正小标宋_GBK" w:cs="方正小标宋_GBK"/>
          <w:color w:val="FF0000"/>
          <w:spacing w:val="-20"/>
          <w:w w:val="60"/>
          <w:kern w:val="22"/>
          <w:sz w:val="154"/>
          <w:szCs w:val="154"/>
        </w:rPr>
        <w:t>青岛市科学技术局文件</w:t>
      </w:r>
    </w:p>
    <w:p>
      <w:pPr>
        <w:spacing w:line="560" w:lineRule="exact"/>
        <w:jc w:val="center"/>
        <w:rPr>
          <w:rFonts w:ascii="仿宋_GB2312" w:hAnsi="宋体" w:eastAsia="仿宋_GB2312"/>
          <w:sz w:val="32"/>
          <w:szCs w:val="32"/>
        </w:rPr>
      </w:pPr>
      <w:r>
        <w:rPr>
          <w:rFonts w:hint="eastAsia" w:ascii="仿宋_GB2312" w:hAnsi="Times New Roman" w:eastAsia="仿宋_GB2312" w:cs="仿宋_GB2312"/>
          <w:sz w:val="32"/>
          <w:szCs w:val="32"/>
        </w:rPr>
        <w:t>青科字〔</w:t>
      </w:r>
      <w:r>
        <w:rPr>
          <w:rFonts w:ascii="仿宋_GB2312" w:hAnsi="Times New Roman" w:eastAsia="仿宋_GB2312" w:cs="仿宋_GB2312"/>
          <w:sz w:val="32"/>
          <w:szCs w:val="32"/>
        </w:rPr>
        <w:t>202</w:t>
      </w:r>
      <w:r>
        <w:rPr>
          <w:rFonts w:hint="eastAsia" w:ascii="仿宋_GB2312" w:hAnsi="Times New Roman" w:eastAsia="仿宋_GB2312" w:cs="仿宋_GB2312"/>
          <w:sz w:val="32"/>
          <w:szCs w:val="32"/>
        </w:rPr>
        <w:t>5〕</w:t>
      </w:r>
      <w:r>
        <w:rPr>
          <w:rFonts w:hint="eastAsia" w:ascii="仿宋_GB2312" w:hAnsi="Times New Roman" w:eastAsia="仿宋_GB2312" w:cs="仿宋_GB2312"/>
          <w:sz w:val="32"/>
          <w:szCs w:val="32"/>
          <w:lang w:val="en-US" w:eastAsia="zh-CN"/>
        </w:rPr>
        <w:t>16</w:t>
      </w:r>
      <w:r>
        <w:rPr>
          <w:rFonts w:hint="eastAsia" w:ascii="仿宋_GB2312" w:hAnsi="Times New Roman" w:eastAsia="仿宋_GB2312" w:cs="仿宋_GB2312"/>
          <w:sz w:val="32"/>
          <w:szCs w:val="32"/>
        </w:rPr>
        <w:t>号</w:t>
      </w:r>
    </w:p>
    <w:p>
      <w:pPr>
        <w:tabs>
          <w:tab w:val="left" w:pos="360"/>
        </w:tabs>
        <w:spacing w:line="560" w:lineRule="exact"/>
        <w:jc w:val="center"/>
        <w:rPr>
          <w:rFonts w:ascii="仿宋_GB2312" w:hAnsi="宋体" w:eastAsia="仿宋_GB2312"/>
          <w:color w:val="FF0000"/>
          <w:sz w:val="32"/>
          <w:szCs w:val="32"/>
        </w:rPr>
      </w:pPr>
      <w:r>
        <w:rPr>
          <w:rFonts w:hint="eastAsia" w:ascii="仿宋_GB2312" w:hAnsi="宋体" w:eastAsia="仿宋_GB2312" w:cs="仿宋_GB2312"/>
          <w:color w:val="FF0000"/>
          <w:sz w:val="32"/>
          <w:szCs w:val="32"/>
        </w:rPr>
        <w:t>━━━━━━━━━━━━━━━━━━━━━━━━━━━</w:t>
      </w:r>
    </w:p>
    <w:p>
      <w:pPr>
        <w:widowControl/>
        <w:spacing w:line="580" w:lineRule="exact"/>
        <w:jc w:val="center"/>
        <w:rPr>
          <w:rFonts w:ascii="方正小标宋_GBK" w:eastAsia="方正小标宋_GBK" w:cs="方正小标宋_GBK"/>
          <w:sz w:val="44"/>
          <w:szCs w:val="44"/>
        </w:rPr>
      </w:pPr>
    </w:p>
    <w:p>
      <w:pPr>
        <w:widowControl/>
        <w:spacing w:line="580" w:lineRule="exact"/>
        <w:jc w:val="center"/>
        <w:rPr>
          <w:rFonts w:ascii="方正小标宋_GBK" w:eastAsia="方正小标宋_GBK" w:cs="方正小标宋_GBK"/>
          <w:sz w:val="44"/>
          <w:szCs w:val="44"/>
        </w:rPr>
      </w:pPr>
      <w:r>
        <w:rPr>
          <w:rFonts w:hint="eastAsia" w:ascii="方正小标宋_GBK" w:eastAsia="方正小标宋_GBK" w:cs="方正小标宋_GBK"/>
          <w:sz w:val="44"/>
          <w:szCs w:val="44"/>
        </w:rPr>
        <w:t>关于印发《青岛市科技计划项目验收管理办法》的通知</w:t>
      </w:r>
    </w:p>
    <w:p>
      <w:pPr>
        <w:widowControl/>
        <w:spacing w:line="580" w:lineRule="exact"/>
        <w:ind w:firstLine="880" w:firstLineChars="200"/>
        <w:jc w:val="center"/>
        <w:rPr>
          <w:rFonts w:ascii="方正小标宋_GBK" w:eastAsia="方正小标宋_GBK" w:cs="方正小标宋_GBK"/>
          <w:sz w:val="44"/>
          <w:szCs w:val="44"/>
        </w:rPr>
      </w:pPr>
    </w:p>
    <w:p>
      <w:pPr>
        <w:spacing w:line="580" w:lineRule="exact"/>
        <w:rPr>
          <w:rFonts w:ascii="仿宋_GB2312" w:eastAsia="仿宋_GB2312"/>
          <w:sz w:val="32"/>
          <w:szCs w:val="32"/>
        </w:rPr>
      </w:pPr>
      <w:r>
        <w:rPr>
          <w:rFonts w:hint="eastAsia" w:ascii="仿宋_GB2312" w:eastAsia="仿宋_GB2312" w:cs="仿宋_GB2312"/>
          <w:sz w:val="32"/>
          <w:szCs w:val="32"/>
        </w:rPr>
        <w:t>各区（市、功能区）、西海岸新区科技主管部门，市直有关部门，有关单位：</w:t>
      </w:r>
    </w:p>
    <w:p>
      <w:pPr>
        <w:spacing w:line="560" w:lineRule="exact"/>
        <w:jc w:val="left"/>
        <w:rPr>
          <w:rFonts w:ascii="仿宋_GB2312" w:eastAsia="仿宋_GB2312" w:cs="仿宋_GB2312"/>
          <w:sz w:val="32"/>
          <w:szCs w:val="32"/>
        </w:rPr>
      </w:pPr>
      <w:r>
        <w:rPr>
          <w:rFonts w:hint="eastAsia" w:ascii="仿宋_GB2312" w:hAnsi="仿宋" w:eastAsia="仿宋_GB2312" w:cs="仿宋_GB2312"/>
          <w:kern w:val="0"/>
          <w:sz w:val="32"/>
          <w:szCs w:val="32"/>
        </w:rPr>
        <w:t>为进一步优化青岛市科技计划项目验收工作流程</w:t>
      </w:r>
      <w:r>
        <w:rPr>
          <w:rFonts w:hint="eastAsia" w:ascii="仿宋_GB2312" w:hAnsi="仿宋" w:eastAsia="仿宋_GB2312" w:cs="仿宋_GB2312"/>
          <w:color w:val="000000"/>
          <w:kern w:val="0"/>
          <w:sz w:val="32"/>
          <w:szCs w:val="32"/>
        </w:rPr>
        <w:t>，提升验收工作质效，</w:t>
      </w:r>
      <w:r>
        <w:rPr>
          <w:rFonts w:hint="eastAsia" w:ascii="仿宋_GB2312" w:hAnsi="仿宋" w:eastAsia="仿宋_GB2312" w:cs="仿宋_GB2312"/>
          <w:kern w:val="0"/>
          <w:sz w:val="32"/>
          <w:szCs w:val="32"/>
        </w:rPr>
        <w:t>根据国家、山东省有关规定和本市实际，青岛市科技局对</w:t>
      </w:r>
      <w:r>
        <w:rPr>
          <w:rFonts w:ascii="仿宋_GB2312" w:hAnsi="仿宋" w:eastAsia="仿宋_GB2312" w:cs="仿宋_GB2312"/>
          <w:color w:val="000000"/>
          <w:kern w:val="0"/>
          <w:sz w:val="32"/>
          <w:szCs w:val="32"/>
        </w:rPr>
        <w:t>202</w:t>
      </w:r>
      <w:r>
        <w:rPr>
          <w:rFonts w:hint="eastAsia" w:ascii="仿宋_GB2312" w:hAnsi="仿宋" w:eastAsia="仿宋_GB2312" w:cs="仿宋_GB2312"/>
          <w:color w:val="000000"/>
          <w:kern w:val="0"/>
          <w:sz w:val="32"/>
          <w:szCs w:val="32"/>
        </w:rPr>
        <w:t>3年7月28日印</w:t>
      </w:r>
      <w:r>
        <w:rPr>
          <w:rFonts w:hint="eastAsia" w:ascii="仿宋_GB2312" w:hAnsi="仿宋" w:eastAsia="仿宋_GB2312" w:cs="仿宋_GB2312"/>
          <w:kern w:val="0"/>
          <w:sz w:val="32"/>
          <w:szCs w:val="32"/>
        </w:rPr>
        <w:t>发的《青岛市科技计划项目验收管理办法》（青科字〔</w:t>
      </w:r>
      <w:r>
        <w:rPr>
          <w:rFonts w:ascii="仿宋_GB2312" w:hAnsi="仿宋" w:eastAsia="仿宋_GB2312" w:cs="仿宋_GB2312"/>
          <w:kern w:val="0"/>
          <w:sz w:val="32"/>
          <w:szCs w:val="32"/>
        </w:rPr>
        <w:t>2023</w:t>
      </w:r>
      <w:r>
        <w:rPr>
          <w:rFonts w:hint="eastAsia" w:ascii="仿宋_GB2312" w:hAnsi="仿宋" w:eastAsia="仿宋_GB2312" w:cs="仿宋_GB2312"/>
          <w:kern w:val="0"/>
          <w:sz w:val="32"/>
          <w:szCs w:val="32"/>
        </w:rPr>
        <w:t>〕</w:t>
      </w:r>
      <w:r>
        <w:rPr>
          <w:rFonts w:ascii="仿宋_GB2312" w:hAnsi="仿宋" w:eastAsia="仿宋_GB2312" w:cs="仿宋_GB2312"/>
          <w:kern w:val="0"/>
          <w:sz w:val="32"/>
          <w:szCs w:val="32"/>
        </w:rPr>
        <w:t>10</w:t>
      </w:r>
      <w:r>
        <w:rPr>
          <w:rFonts w:hint="eastAsia" w:ascii="仿宋_GB2312" w:hAnsi="仿宋" w:eastAsia="仿宋_GB2312" w:cs="仿宋_GB2312"/>
          <w:kern w:val="0"/>
          <w:sz w:val="32"/>
          <w:szCs w:val="32"/>
        </w:rPr>
        <w:t>号）进行修订，形成新的《青岛市科技计划项目验收管理办法》。</w:t>
      </w:r>
      <w:r>
        <w:rPr>
          <w:rFonts w:hint="eastAsia" w:ascii="仿宋_GB2312" w:eastAsia="仿宋_GB2312" w:cs="仿宋_GB2312"/>
          <w:sz w:val="32"/>
          <w:szCs w:val="32"/>
        </w:rPr>
        <w:t>现印发给你们，请遵照执行。</w:t>
      </w:r>
    </w:p>
    <w:p>
      <w:pPr>
        <w:spacing w:line="580" w:lineRule="exact"/>
        <w:ind w:firstLine="640" w:firstLineChars="200"/>
        <w:rPr>
          <w:rFonts w:ascii="仿宋_GB2312" w:eastAsia="仿宋_GB2312" w:cs="仿宋_GB2312"/>
          <w:sz w:val="32"/>
          <w:szCs w:val="32"/>
        </w:rPr>
      </w:pPr>
    </w:p>
    <w:p>
      <w:pPr>
        <w:spacing w:line="580" w:lineRule="exact"/>
        <w:ind w:firstLine="640" w:firstLineChars="200"/>
        <w:rPr>
          <w:rFonts w:ascii="仿宋_GB2312" w:eastAsia="仿宋_GB2312" w:cs="仿宋_GB2312"/>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4082" w:right="1474" w:bottom="1985" w:left="1588" w:header="851" w:footer="992" w:gutter="0"/>
          <w:pgNumType w:fmt="numberInDash"/>
          <w:cols w:space="425" w:num="1"/>
          <w:docGrid w:type="linesAndChars" w:linePitch="312" w:charSpace="0"/>
        </w:sectPr>
      </w:pPr>
    </w:p>
    <w:p>
      <w:pPr>
        <w:spacing w:line="580" w:lineRule="exact"/>
        <w:ind w:firstLine="640" w:firstLineChars="200"/>
        <w:rPr>
          <w:rFonts w:ascii="仿宋_GB2312" w:eastAsia="仿宋_GB2312" w:cs="仿宋_GB2312"/>
          <w:sz w:val="32"/>
          <w:szCs w:val="32"/>
        </w:rPr>
      </w:pPr>
    </w:p>
    <w:p>
      <w:pPr>
        <w:spacing w:line="58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                          </w:t>
      </w:r>
      <w:r>
        <w:rPr>
          <w:rFonts w:hint="eastAsia" w:ascii="仿宋_GB2312" w:eastAsia="仿宋_GB2312" w:cs="仿宋_GB2312"/>
          <w:sz w:val="32"/>
          <w:szCs w:val="32"/>
        </w:rPr>
        <w:t>青岛市科学技术局</w:t>
      </w:r>
    </w:p>
    <w:p>
      <w:pPr>
        <w:spacing w:line="58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                           </w:t>
      </w:r>
      <w:bookmarkStart w:id="0" w:name="_GoBack"/>
      <w:bookmarkEnd w:id="0"/>
      <w:r>
        <w:rPr>
          <w:rFonts w:ascii="仿宋_GB2312" w:eastAsia="仿宋_GB2312" w:cs="仿宋_GB2312"/>
          <w:sz w:val="32"/>
          <w:szCs w:val="32"/>
        </w:rPr>
        <w:t>202</w:t>
      </w:r>
      <w:r>
        <w:rPr>
          <w:rFonts w:hint="eastAsia" w:ascii="仿宋_GB2312" w:eastAsia="仿宋_GB2312" w:cs="仿宋_GB2312"/>
          <w:sz w:val="32"/>
          <w:szCs w:val="32"/>
        </w:rPr>
        <w:t>5年9月</w:t>
      </w:r>
      <w:r>
        <w:rPr>
          <w:rFonts w:hint="eastAsia" w:ascii="仿宋_GB2312" w:eastAsia="仿宋_GB2312" w:cs="仿宋_GB2312"/>
          <w:sz w:val="32"/>
          <w:szCs w:val="32"/>
          <w:lang w:val="en-US" w:eastAsia="zh-CN"/>
        </w:rPr>
        <w:t>4</w:t>
      </w:r>
      <w:r>
        <w:rPr>
          <w:rFonts w:hint="eastAsia" w:ascii="仿宋_GB2312" w:eastAsia="仿宋_GB2312" w:cs="仿宋_GB2312"/>
          <w:sz w:val="32"/>
          <w:szCs w:val="32"/>
        </w:rPr>
        <w:t>日</w:t>
      </w:r>
    </w:p>
    <w:p>
      <w:pPr>
        <w:widowControl/>
        <w:spacing w:line="580" w:lineRule="exact"/>
        <w:rPr>
          <w:rFonts w:ascii="文星标宋" w:hAnsi="文星标宋" w:eastAsia="文星标宋" w:cs="宋体"/>
          <w:bCs/>
          <w:kern w:val="0"/>
          <w:sz w:val="32"/>
          <w:szCs w:val="32"/>
        </w:rPr>
      </w:pP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（此件主动公开）</w:t>
      </w:r>
    </w:p>
    <w:p>
      <w:pPr>
        <w:spacing w:line="580" w:lineRule="exact"/>
        <w:ind w:firstLine="640" w:firstLineChars="200"/>
        <w:rPr>
          <w:rFonts w:ascii="仿宋_GB2312" w:eastAsia="仿宋_GB2312" w:cs="仿宋_GB2312"/>
          <w:sz w:val="32"/>
          <w:szCs w:val="32"/>
        </w:rPr>
      </w:pPr>
    </w:p>
    <w:p>
      <w:pPr>
        <w:spacing w:line="580" w:lineRule="exact"/>
        <w:ind w:firstLine="640" w:firstLineChars="200"/>
        <w:rPr>
          <w:rFonts w:ascii="仿宋_GB2312" w:eastAsia="仿宋_GB2312" w:cs="仿宋_GB2312"/>
          <w:sz w:val="32"/>
          <w:szCs w:val="32"/>
        </w:rPr>
      </w:pPr>
    </w:p>
    <w:p>
      <w:pPr>
        <w:spacing w:line="580" w:lineRule="exact"/>
        <w:ind w:firstLine="640" w:firstLineChars="200"/>
        <w:rPr>
          <w:rFonts w:ascii="仿宋_GB2312" w:eastAsia="仿宋_GB2312" w:cs="仿宋_GB2312"/>
          <w:sz w:val="32"/>
          <w:szCs w:val="32"/>
        </w:rPr>
      </w:pPr>
    </w:p>
    <w:p>
      <w:pPr>
        <w:spacing w:line="580" w:lineRule="exact"/>
        <w:ind w:firstLine="640" w:firstLineChars="200"/>
        <w:rPr>
          <w:rFonts w:ascii="仿宋_GB2312" w:eastAsia="仿宋_GB2312" w:cs="仿宋_GB2312"/>
          <w:sz w:val="32"/>
          <w:szCs w:val="32"/>
        </w:rPr>
      </w:pPr>
    </w:p>
    <w:p>
      <w:pPr>
        <w:keepNext w:val="0"/>
        <w:keepLines w:val="0"/>
        <w:pageBreakBefore w:val="0"/>
        <w:widowControl w:val="0"/>
        <w:kinsoku/>
        <w:wordWrap/>
        <w:overflowPunct/>
        <w:topLinePunct w:val="0"/>
        <w:autoSpaceDE/>
        <w:autoSpaceDN/>
        <w:bidi w:val="0"/>
        <w:spacing w:line="580" w:lineRule="exact"/>
        <w:jc w:val="left"/>
        <w:textAlignment w:val="auto"/>
        <w:rPr>
          <w:rFonts w:ascii="黑体" w:hAnsi="仿宋" w:eastAsia="黑体" w:cs="黑体"/>
          <w:kern w:val="0"/>
          <w:sz w:val="32"/>
          <w:szCs w:val="32"/>
        </w:rPr>
      </w:pPr>
      <w:r>
        <w:rPr>
          <w:rFonts w:ascii="文星标宋" w:hAnsi="文星标宋" w:eastAsia="文星标宋" w:cs="宋体"/>
          <w:bCs/>
          <w:kern w:val="0"/>
          <w:sz w:val="32"/>
          <w:szCs w:val="32"/>
        </w:rPr>
        <w:br w:type="page"/>
      </w:r>
      <w:r>
        <w:rPr>
          <w:rFonts w:hint="eastAsia" w:ascii="黑体" w:hAnsi="仿宋" w:eastAsia="黑体" w:cs="黑体"/>
          <w:kern w:val="0"/>
          <w:sz w:val="32"/>
          <w:szCs w:val="32"/>
        </w:rPr>
        <w:t>附件：</w:t>
      </w:r>
    </w:p>
    <w:p>
      <w:pPr>
        <w:keepNext w:val="0"/>
        <w:keepLines w:val="0"/>
        <w:pageBreakBefore w:val="0"/>
        <w:widowControl w:val="0"/>
        <w:kinsoku/>
        <w:wordWrap/>
        <w:overflowPunct/>
        <w:topLinePunct w:val="0"/>
        <w:autoSpaceDE/>
        <w:autoSpaceDN/>
        <w:bidi w:val="0"/>
        <w:spacing w:line="580" w:lineRule="exact"/>
        <w:jc w:val="center"/>
        <w:textAlignment w:val="auto"/>
        <w:rPr>
          <w:rFonts w:ascii="方正小标宋_GBK" w:hAnsi="文星标宋" w:eastAsia="方正小标宋_GBK" w:cs="方正小标宋_GBK"/>
          <w:kern w:val="0"/>
          <w:sz w:val="44"/>
          <w:szCs w:val="44"/>
        </w:rPr>
      </w:pPr>
      <w:r>
        <w:rPr>
          <w:rFonts w:hint="eastAsia" w:ascii="方正小标宋_GBK" w:hAnsi="文星标宋" w:eastAsia="方正小标宋_GBK" w:cs="方正小标宋_GBK"/>
          <w:kern w:val="0"/>
          <w:sz w:val="44"/>
          <w:szCs w:val="44"/>
        </w:rPr>
        <w:t>青岛市科技计划项目验收管理办法</w:t>
      </w:r>
    </w:p>
    <w:p>
      <w:pPr>
        <w:keepNext w:val="0"/>
        <w:keepLines w:val="0"/>
        <w:pageBreakBefore w:val="0"/>
        <w:widowControl w:val="0"/>
        <w:kinsoku/>
        <w:wordWrap/>
        <w:overflowPunct/>
        <w:topLinePunct w:val="0"/>
        <w:autoSpaceDE/>
        <w:autoSpaceDN/>
        <w:bidi w:val="0"/>
        <w:spacing w:line="560" w:lineRule="exact"/>
        <w:ind w:firstLine="720" w:firstLineChars="200"/>
        <w:jc w:val="left"/>
        <w:textAlignment w:val="auto"/>
        <w:rPr>
          <w:rFonts w:ascii="仿宋_GB2312" w:hAnsi="仿宋" w:eastAsia="仿宋_GB2312" w:cs="Times New Roman"/>
          <w:kern w:val="0"/>
          <w:sz w:val="36"/>
          <w:szCs w:val="36"/>
        </w:rPr>
      </w:pPr>
    </w:p>
    <w:p>
      <w:pPr>
        <w:keepNext w:val="0"/>
        <w:keepLines w:val="0"/>
        <w:pageBreakBefore w:val="0"/>
        <w:widowControl w:val="0"/>
        <w:kinsoku/>
        <w:wordWrap/>
        <w:overflowPunct/>
        <w:topLinePunct w:val="0"/>
        <w:autoSpaceDE/>
        <w:autoSpaceDN/>
        <w:bidi w:val="0"/>
        <w:spacing w:line="560" w:lineRule="exact"/>
        <w:jc w:val="center"/>
        <w:textAlignment w:val="auto"/>
        <w:rPr>
          <w:rFonts w:ascii="黑体" w:hAnsi="仿宋" w:eastAsia="黑体" w:cs="Times New Roman"/>
          <w:kern w:val="0"/>
          <w:sz w:val="32"/>
          <w:szCs w:val="32"/>
        </w:rPr>
      </w:pPr>
      <w:r>
        <w:rPr>
          <w:rFonts w:hint="eastAsia" w:ascii="黑体" w:hAnsi="仿宋" w:eastAsia="黑体" w:cs="黑体"/>
          <w:kern w:val="0"/>
          <w:sz w:val="32"/>
          <w:szCs w:val="32"/>
        </w:rPr>
        <w:t>第一章   总则</w:t>
      </w:r>
    </w:p>
    <w:p>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ascii="仿宋_GB2312" w:hAnsi="仿宋" w:eastAsia="仿宋_GB2312" w:cs="仿宋_GB2312"/>
          <w:kern w:val="0"/>
          <w:sz w:val="32"/>
          <w:szCs w:val="32"/>
        </w:rPr>
      </w:pPr>
      <w:r>
        <w:rPr>
          <w:rFonts w:hint="eastAsia" w:ascii="仿宋_GB2312" w:hAnsi="仿宋" w:eastAsia="仿宋_GB2312" w:cs="仿宋_GB2312"/>
          <w:b/>
          <w:bCs/>
          <w:kern w:val="0"/>
          <w:sz w:val="32"/>
          <w:szCs w:val="32"/>
        </w:rPr>
        <w:t>第一条</w:t>
      </w:r>
      <w:r>
        <w:rPr>
          <w:rFonts w:ascii="仿宋_GB2312" w:hAnsi="仿宋" w:eastAsia="仿宋_GB2312" w:cs="仿宋_GB2312"/>
          <w:kern w:val="0"/>
          <w:sz w:val="32"/>
          <w:szCs w:val="32"/>
        </w:rPr>
        <w:t xml:space="preserve">  </w:t>
      </w:r>
      <w:r>
        <w:rPr>
          <w:rFonts w:hint="eastAsia" w:ascii="仿宋_GB2312" w:hAnsi="仿宋" w:eastAsia="仿宋_GB2312" w:cs="仿宋_GB2312"/>
          <w:kern w:val="0"/>
          <w:sz w:val="32"/>
          <w:szCs w:val="32"/>
        </w:rPr>
        <w:t>为进一步优化青岛市科技计划项目验收工作（以下简称项目验收）流程，提升项目验收工作质效，</w:t>
      </w:r>
      <w:r>
        <w:rPr>
          <w:rFonts w:hint="eastAsia" w:ascii="仿宋_GB2312" w:hAnsi="仿宋" w:eastAsia="仿宋_GB2312" w:cs="仿宋_GB2312"/>
          <w:color w:val="000000"/>
          <w:kern w:val="0"/>
          <w:sz w:val="32"/>
          <w:szCs w:val="32"/>
        </w:rPr>
        <w:t>依据国家相关政策规定，</w:t>
      </w:r>
      <w:r>
        <w:rPr>
          <w:rFonts w:hint="eastAsia" w:ascii="仿宋_GB2312" w:hAnsi="仿宋" w:eastAsia="仿宋_GB2312" w:cs="仿宋_GB2312"/>
          <w:kern w:val="0"/>
          <w:sz w:val="32"/>
          <w:szCs w:val="32"/>
        </w:rPr>
        <w:t>借鉴其他省市经验做法，</w:t>
      </w:r>
      <w:r>
        <w:rPr>
          <w:rFonts w:hint="eastAsia" w:ascii="仿宋_GB2312" w:hAnsi="仿宋" w:eastAsia="仿宋_GB2312" w:cs="仿宋_GB2312"/>
          <w:color w:val="000000"/>
          <w:kern w:val="0"/>
          <w:sz w:val="32"/>
          <w:szCs w:val="32"/>
        </w:rPr>
        <w:t>结合我市实际，制定本办法。</w:t>
      </w:r>
    </w:p>
    <w:p>
      <w:pPr>
        <w:pStyle w:val="7"/>
        <w:keepNext w:val="0"/>
        <w:keepLines w:val="0"/>
        <w:pageBreakBefore w:val="0"/>
        <w:widowControl w:val="0"/>
        <w:shd w:val="clear" w:color="auto" w:fill="FFFFFF"/>
        <w:kinsoku/>
        <w:wordWrap/>
        <w:overflowPunct/>
        <w:topLinePunct w:val="0"/>
        <w:autoSpaceDE/>
        <w:autoSpaceDN/>
        <w:bidi w:val="0"/>
        <w:adjustRightInd w:val="0"/>
        <w:snapToGrid w:val="0"/>
        <w:spacing w:before="0" w:beforeAutospacing="0" w:after="0" w:afterAutospacing="0" w:line="560" w:lineRule="exact"/>
        <w:ind w:firstLine="627" w:firstLineChars="200"/>
        <w:textAlignment w:val="auto"/>
        <w:rPr>
          <w:rFonts w:hAnsi="仿宋"/>
          <w:spacing w:val="0"/>
          <w:sz w:val="32"/>
          <w:szCs w:val="32"/>
        </w:rPr>
      </w:pPr>
      <w:r>
        <w:rPr>
          <w:rFonts w:hint="eastAsia" w:hAnsi="仿宋"/>
          <w:b/>
          <w:bCs/>
          <w:sz w:val="32"/>
          <w:szCs w:val="32"/>
        </w:rPr>
        <w:t>第二条</w:t>
      </w:r>
      <w:r>
        <w:rPr>
          <w:rFonts w:hAnsi="仿宋"/>
          <w:sz w:val="32"/>
          <w:szCs w:val="32"/>
        </w:rPr>
        <w:t xml:space="preserve">  </w:t>
      </w:r>
      <w:r>
        <w:rPr>
          <w:rFonts w:hint="eastAsia" w:hAnsi="仿宋"/>
          <w:color w:val="000000"/>
          <w:spacing w:val="0"/>
          <w:sz w:val="32"/>
          <w:szCs w:val="32"/>
          <w:shd w:val="clear" w:color="auto" w:fill="FFFFFF"/>
        </w:rPr>
        <w:t>凡经青岛市科学技术局（以下简称市科技局）立项，</w:t>
      </w:r>
      <w:r>
        <w:rPr>
          <w:rFonts w:hint="eastAsia" w:hAnsi="仿宋"/>
          <w:spacing w:val="0"/>
          <w:sz w:val="32"/>
          <w:szCs w:val="32"/>
        </w:rPr>
        <w:t>获得市级财政科技专项资金资助、</w:t>
      </w:r>
      <w:r>
        <w:rPr>
          <w:rFonts w:hint="eastAsia" w:hAnsi="仿宋"/>
          <w:color w:val="000000"/>
          <w:spacing w:val="0"/>
          <w:sz w:val="32"/>
          <w:szCs w:val="32"/>
          <w:shd w:val="clear" w:color="auto" w:fill="FFFFFF"/>
        </w:rPr>
        <w:t>并签订市级科技计划项目任务书或合同书（以下简称任务书）的科技计划项目均应列入本办法管理范畴。</w:t>
      </w:r>
    </w:p>
    <w:p>
      <w:pPr>
        <w:keepNext w:val="0"/>
        <w:keepLines w:val="0"/>
        <w:pageBreakBefore w:val="0"/>
        <w:widowControl w:val="0"/>
        <w:numPr>
          <w:ilvl w:val="255"/>
          <w:numId w:val="0"/>
        </w:numPr>
        <w:kinsoku/>
        <w:wordWrap/>
        <w:overflowPunct/>
        <w:topLinePunct w:val="0"/>
        <w:autoSpaceDE/>
        <w:autoSpaceDN/>
        <w:bidi w:val="0"/>
        <w:adjustRightInd w:val="0"/>
        <w:snapToGrid w:val="0"/>
        <w:spacing w:line="560" w:lineRule="exact"/>
        <w:ind w:firstLine="643" w:firstLineChars="200"/>
        <w:jc w:val="left"/>
        <w:textAlignment w:val="auto"/>
        <w:rPr>
          <w:rFonts w:ascii="仿宋_GB2312" w:hAnsi="仿宋" w:eastAsia="仿宋_GB2312" w:cs="Times New Roman"/>
          <w:kern w:val="0"/>
          <w:sz w:val="32"/>
          <w:szCs w:val="32"/>
        </w:rPr>
      </w:pPr>
      <w:r>
        <w:rPr>
          <w:rFonts w:hint="eastAsia" w:ascii="仿宋_GB2312" w:hAnsi="仿宋" w:eastAsia="仿宋_GB2312" w:cs="仿宋_GB2312"/>
          <w:b/>
          <w:bCs/>
          <w:kern w:val="0"/>
          <w:sz w:val="32"/>
          <w:szCs w:val="32"/>
        </w:rPr>
        <w:t>第三条</w:t>
      </w:r>
      <w:r>
        <w:rPr>
          <w:rFonts w:ascii="仿宋_GB2312" w:hAnsi="仿宋" w:eastAsia="仿宋_GB2312" w:cs="仿宋_GB2312"/>
          <w:b/>
          <w:bCs/>
          <w:kern w:val="0"/>
          <w:sz w:val="32"/>
          <w:szCs w:val="32"/>
        </w:rPr>
        <w:t xml:space="preserve">  </w:t>
      </w:r>
      <w:r>
        <w:rPr>
          <w:rFonts w:hint="eastAsia" w:ascii="仿宋_GB2312" w:hAnsi="仿宋" w:eastAsia="仿宋_GB2312" w:cs="仿宋_GB2312"/>
          <w:kern w:val="0"/>
          <w:sz w:val="32"/>
          <w:szCs w:val="32"/>
        </w:rPr>
        <w:t>项目验收遵循实事求是、客观公正、科学规范、精简高效的原则。</w:t>
      </w:r>
      <w:r>
        <w:rPr>
          <w:rFonts w:hint="eastAsia" w:eastAsia="仿宋_GB2312"/>
          <w:snapToGrid w:val="0"/>
          <w:kern w:val="0"/>
          <w:sz w:val="32"/>
          <w:szCs w:val="32"/>
        </w:rPr>
        <w:t>按照任务书目标要求，对项目</w:t>
      </w:r>
      <w:r>
        <w:rPr>
          <w:rFonts w:hint="eastAsia" w:ascii="仿宋_GB2312" w:hAnsi="仿宋" w:eastAsia="仿宋_GB2312" w:cs="仿宋_GB2312"/>
          <w:kern w:val="0"/>
          <w:sz w:val="32"/>
          <w:szCs w:val="32"/>
        </w:rPr>
        <w:t>任务完成情况、经费管理使用情况等进行评价。</w:t>
      </w:r>
      <w:r>
        <w:rPr>
          <w:rFonts w:hint="eastAsia" w:eastAsia="仿宋_GB2312"/>
          <w:snapToGrid w:val="0"/>
          <w:kern w:val="0"/>
          <w:sz w:val="32"/>
          <w:szCs w:val="32"/>
        </w:rPr>
        <w:t>项目验收不能代替国家法律、法规和规章所要求的其他验收内容。</w:t>
      </w:r>
      <w:r>
        <w:rPr>
          <w:rFonts w:eastAsia="仿宋_GB2312"/>
          <w:snapToGrid w:val="0"/>
          <w:kern w:val="0"/>
          <w:sz w:val="32"/>
          <w:szCs w:val="32"/>
        </w:rPr>
        <w:t xml:space="preserve">  </w:t>
      </w:r>
    </w:p>
    <w:p>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ascii="仿宋_GB2312" w:hAnsi="仿宋" w:eastAsia="仿宋_GB2312" w:cs="仿宋_GB2312"/>
          <w:kern w:val="0"/>
          <w:sz w:val="32"/>
          <w:szCs w:val="32"/>
        </w:rPr>
      </w:pPr>
      <w:r>
        <w:rPr>
          <w:rFonts w:hint="eastAsia" w:ascii="仿宋_GB2312" w:hAnsi="仿宋" w:eastAsia="仿宋_GB2312" w:cs="仿宋_GB2312"/>
          <w:b/>
          <w:bCs/>
          <w:kern w:val="0"/>
          <w:sz w:val="32"/>
          <w:szCs w:val="32"/>
        </w:rPr>
        <w:t>第四条</w:t>
      </w:r>
      <w:r>
        <w:rPr>
          <w:rFonts w:ascii="仿宋_GB2312" w:hAnsi="仿宋" w:eastAsia="仿宋_GB2312" w:cs="仿宋_GB2312"/>
          <w:kern w:val="0"/>
          <w:sz w:val="32"/>
          <w:szCs w:val="32"/>
        </w:rPr>
        <w:t xml:space="preserve">  </w:t>
      </w:r>
      <w:r>
        <w:rPr>
          <w:rFonts w:hint="eastAsia" w:ascii="仿宋_GB2312" w:hAnsi="仿宋" w:eastAsia="仿宋_GB2312" w:cs="仿宋_GB2312"/>
          <w:kern w:val="0"/>
          <w:sz w:val="32"/>
          <w:szCs w:val="32"/>
        </w:rPr>
        <w:t>按照“放管服”和“政事分离”的原则，</w:t>
      </w:r>
      <w:r>
        <w:rPr>
          <w:rFonts w:hint="eastAsia" w:eastAsia="仿宋_GB2312"/>
          <w:snapToGrid w:val="0"/>
          <w:kern w:val="0"/>
          <w:sz w:val="32"/>
          <w:szCs w:val="32"/>
        </w:rPr>
        <w:t>市科技局</w:t>
      </w:r>
      <w:r>
        <w:rPr>
          <w:rFonts w:hint="eastAsia" w:eastAsia="仿宋_GB2312"/>
          <w:snapToGrid w:val="0"/>
          <w:sz w:val="32"/>
          <w:szCs w:val="32"/>
        </w:rPr>
        <w:t>通过政府采购，委托项目管理专业机构</w:t>
      </w:r>
      <w:r>
        <w:rPr>
          <w:rFonts w:hint="eastAsia" w:ascii="仿宋_GB2312" w:hAnsi="仿宋" w:eastAsia="仿宋_GB2312" w:cs="仿宋_GB2312"/>
          <w:kern w:val="0"/>
          <w:sz w:val="32"/>
          <w:szCs w:val="32"/>
        </w:rPr>
        <w:t>开展项目验收工作。</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ascii="仿宋_GB2312" w:hAnsi="仿宋" w:eastAsia="仿宋_GB2312" w:cs="仿宋_GB2312"/>
          <w:kern w:val="0"/>
          <w:sz w:val="32"/>
          <w:szCs w:val="32"/>
        </w:rPr>
      </w:pPr>
    </w:p>
    <w:p>
      <w:pPr>
        <w:pStyle w:val="17"/>
        <w:keepNext w:val="0"/>
        <w:keepLines w:val="0"/>
        <w:pageBreakBefore w:val="0"/>
        <w:widowControl w:val="0"/>
        <w:numPr>
          <w:ilvl w:val="0"/>
          <w:numId w:val="1"/>
        </w:numPr>
        <w:kinsoku/>
        <w:wordWrap/>
        <w:overflowPunct/>
        <w:topLinePunct w:val="0"/>
        <w:autoSpaceDE/>
        <w:autoSpaceDN/>
        <w:bidi w:val="0"/>
        <w:spacing w:line="560" w:lineRule="exact"/>
        <w:ind w:firstLineChars="0"/>
        <w:jc w:val="center"/>
        <w:textAlignment w:val="auto"/>
        <w:rPr>
          <w:rFonts w:ascii="黑体" w:hAnsi="仿宋" w:eastAsia="黑体" w:cs="黑体"/>
          <w:kern w:val="0"/>
          <w:sz w:val="32"/>
          <w:szCs w:val="32"/>
        </w:rPr>
      </w:pPr>
      <w:r>
        <w:rPr>
          <w:rFonts w:hint="eastAsia" w:ascii="黑体" w:hAnsi="仿宋" w:eastAsia="黑体" w:cs="黑体"/>
          <w:kern w:val="0"/>
          <w:sz w:val="32"/>
          <w:szCs w:val="32"/>
        </w:rPr>
        <w:t xml:space="preserve">  管理职责</w:t>
      </w:r>
    </w:p>
    <w:p>
      <w:pPr>
        <w:pStyle w:val="7"/>
        <w:keepNext w:val="0"/>
        <w:keepLines w:val="0"/>
        <w:pageBreakBefore w:val="0"/>
        <w:widowControl w:val="0"/>
        <w:kinsoku/>
        <w:wordWrap/>
        <w:overflowPunct/>
        <w:topLinePunct w:val="0"/>
        <w:autoSpaceDE/>
        <w:autoSpaceDN/>
        <w:bidi w:val="0"/>
        <w:spacing w:before="0" w:beforeAutospacing="0" w:after="0" w:afterAutospacing="0" w:line="560" w:lineRule="exact"/>
        <w:ind w:firstLine="627" w:firstLineChars="200"/>
        <w:textAlignment w:val="auto"/>
        <w:rPr>
          <w:rFonts w:ascii="serif" w:hAnsi="serif" w:eastAsia="serif" w:cs="serif"/>
          <w:color w:val="000000"/>
          <w:spacing w:val="0"/>
          <w:kern w:val="2"/>
          <w:sz w:val="27"/>
          <w:szCs w:val="27"/>
          <w:shd w:val="clear" w:color="auto" w:fill="FFFFFF"/>
        </w:rPr>
      </w:pPr>
      <w:r>
        <w:rPr>
          <w:rFonts w:hint="eastAsia" w:hAnsi="仿宋"/>
          <w:b/>
          <w:bCs/>
          <w:sz w:val="32"/>
          <w:szCs w:val="32"/>
        </w:rPr>
        <w:t>第五条</w:t>
      </w:r>
      <w:r>
        <w:rPr>
          <w:rFonts w:hAnsi="仿宋"/>
          <w:sz w:val="32"/>
          <w:szCs w:val="32"/>
        </w:rPr>
        <w:t xml:space="preserve">  </w:t>
      </w:r>
      <w:r>
        <w:rPr>
          <w:rFonts w:hint="eastAsia" w:hAnsi="仿宋"/>
          <w:spacing w:val="0"/>
          <w:sz w:val="32"/>
          <w:szCs w:val="32"/>
        </w:rPr>
        <w:t>市科技局</w:t>
      </w:r>
      <w:r>
        <w:rPr>
          <w:rFonts w:hint="eastAsia" w:hAnsi="仿宋"/>
          <w:color w:val="040404"/>
          <w:spacing w:val="0"/>
          <w:sz w:val="32"/>
          <w:szCs w:val="32"/>
        </w:rPr>
        <w:t>是市科技计划项目的主管部门，主要职责是：制定项目验收管理相关制度，监督和指导项目管理专业机构组织实施项目验收工作，发布验收工作</w:t>
      </w:r>
      <w:r>
        <w:rPr>
          <w:rFonts w:hAnsi="仿宋"/>
          <w:color w:val="040404"/>
          <w:spacing w:val="0"/>
          <w:sz w:val="32"/>
          <w:szCs w:val="32"/>
        </w:rPr>
        <w:t>通知</w:t>
      </w:r>
      <w:r>
        <w:rPr>
          <w:rFonts w:hint="eastAsia" w:hAnsi="仿宋"/>
          <w:color w:val="040404"/>
          <w:spacing w:val="0"/>
          <w:sz w:val="32"/>
          <w:szCs w:val="32"/>
        </w:rPr>
        <w:t>，作出项目验收结论，统筹追缴项目承担单位的应退回财政资金以及与项目验收有关的其他事项。</w:t>
      </w:r>
    </w:p>
    <w:p>
      <w:pPr>
        <w:pStyle w:val="7"/>
        <w:keepNext w:val="0"/>
        <w:keepLines w:val="0"/>
        <w:pageBreakBefore w:val="0"/>
        <w:widowControl w:val="0"/>
        <w:kinsoku/>
        <w:wordWrap/>
        <w:overflowPunct/>
        <w:topLinePunct w:val="0"/>
        <w:autoSpaceDE/>
        <w:autoSpaceDN/>
        <w:bidi w:val="0"/>
        <w:spacing w:before="0" w:beforeAutospacing="0" w:after="0" w:afterAutospacing="0" w:line="560" w:lineRule="exact"/>
        <w:ind w:firstLine="627" w:firstLineChars="200"/>
        <w:textAlignment w:val="auto"/>
        <w:rPr>
          <w:rFonts w:hAnsi="??"/>
          <w:color w:val="040404"/>
          <w:sz w:val="32"/>
          <w:szCs w:val="32"/>
        </w:rPr>
      </w:pPr>
      <w:r>
        <w:rPr>
          <w:rFonts w:hint="eastAsia" w:hAnsi="仿宋"/>
          <w:b/>
          <w:bCs/>
          <w:sz w:val="32"/>
          <w:szCs w:val="32"/>
        </w:rPr>
        <w:t>第六条</w:t>
      </w:r>
      <w:r>
        <w:rPr>
          <w:rFonts w:hAnsi="仿宋"/>
          <w:b/>
          <w:bCs/>
          <w:sz w:val="32"/>
          <w:szCs w:val="32"/>
        </w:rPr>
        <w:t xml:space="preserve">  </w:t>
      </w:r>
      <w:r>
        <w:rPr>
          <w:rFonts w:hint="eastAsia" w:hAnsi="??"/>
          <w:color w:val="040404"/>
          <w:sz w:val="32"/>
          <w:szCs w:val="32"/>
        </w:rPr>
        <w:t>项目承担单位履行项目组织管理、资金使用、科研诚信、安全和科技伦理治理等科研主体责任，主要职责是：按照任务书规定期限完成项目的组织实施，按照规定使用财政资金，设立专账进行财务核算，配合主管部门做好项目验收准备工作，并确保提交材料的真实性、完整性、准确性、合法性；承担相应违规责任后果，按要求退回被追缴的财政资金；配合主管部门开展监督、审计和验收后评价等工作。</w:t>
      </w:r>
    </w:p>
    <w:p>
      <w:pPr>
        <w:pStyle w:val="7"/>
        <w:keepNext w:val="0"/>
        <w:keepLines w:val="0"/>
        <w:pageBreakBefore w:val="0"/>
        <w:widowControl w:val="0"/>
        <w:kinsoku/>
        <w:wordWrap/>
        <w:overflowPunct/>
        <w:topLinePunct w:val="0"/>
        <w:autoSpaceDE/>
        <w:autoSpaceDN/>
        <w:bidi w:val="0"/>
        <w:spacing w:before="0" w:beforeAutospacing="0" w:after="0" w:afterAutospacing="0" w:line="560" w:lineRule="exact"/>
        <w:ind w:firstLine="627" w:firstLineChars="200"/>
        <w:textAlignment w:val="auto"/>
        <w:rPr>
          <w:rFonts w:hAnsi="??"/>
          <w:sz w:val="32"/>
          <w:szCs w:val="32"/>
        </w:rPr>
      </w:pPr>
      <w:r>
        <w:rPr>
          <w:rFonts w:hint="eastAsia" w:hAnsi="仿宋"/>
          <w:b/>
          <w:bCs/>
          <w:sz w:val="32"/>
          <w:szCs w:val="32"/>
        </w:rPr>
        <w:t>第七条</w:t>
      </w:r>
      <w:r>
        <w:rPr>
          <w:rFonts w:hAnsi="仿宋"/>
          <w:sz w:val="32"/>
          <w:szCs w:val="32"/>
        </w:rPr>
        <w:t xml:space="preserve">  </w:t>
      </w:r>
      <w:r>
        <w:rPr>
          <w:rFonts w:hint="eastAsia" w:hAnsi="??"/>
          <w:sz w:val="32"/>
          <w:szCs w:val="32"/>
        </w:rPr>
        <w:t>项目管理专业机构</w:t>
      </w:r>
      <w:r>
        <w:rPr>
          <w:rFonts w:hint="eastAsia" w:hAnsi="??"/>
          <w:color w:val="040404"/>
          <w:sz w:val="32"/>
          <w:szCs w:val="32"/>
        </w:rPr>
        <w:t>主要承担以下工作：</w:t>
      </w:r>
      <w:r>
        <w:rPr>
          <w:rFonts w:hint="eastAsia" w:hAnsi="??"/>
          <w:sz w:val="32"/>
          <w:szCs w:val="32"/>
        </w:rPr>
        <w:t>制定验收</w:t>
      </w:r>
      <w:r>
        <w:rPr>
          <w:rFonts w:hint="eastAsia" w:hAnsi="??"/>
          <w:color w:val="040404"/>
          <w:sz w:val="32"/>
          <w:szCs w:val="32"/>
        </w:rPr>
        <w:t>工作计划和验收方案</w:t>
      </w:r>
      <w:r>
        <w:rPr>
          <w:rFonts w:hint="eastAsia" w:hAnsi="??"/>
          <w:sz w:val="32"/>
          <w:szCs w:val="32"/>
        </w:rPr>
        <w:t>，</w:t>
      </w:r>
      <w:r>
        <w:rPr>
          <w:rFonts w:hint="eastAsia" w:hAnsi="??"/>
          <w:color w:val="040404"/>
          <w:sz w:val="32"/>
          <w:szCs w:val="32"/>
        </w:rPr>
        <w:t>规范验收工作程序，落实验收组织保障；</w:t>
      </w:r>
      <w:r>
        <w:rPr>
          <w:rFonts w:hint="eastAsia" w:hAnsi="??"/>
          <w:sz w:val="32"/>
          <w:szCs w:val="32"/>
        </w:rPr>
        <w:t>对验收材料进行形式审查，</w:t>
      </w:r>
      <w:r>
        <w:rPr>
          <w:rFonts w:hint="eastAsia" w:hAnsi="??"/>
          <w:color w:val="040404"/>
          <w:sz w:val="32"/>
          <w:szCs w:val="32"/>
        </w:rPr>
        <w:t>按照科学、客观、公正的原则组织专家组开展验收工作</w:t>
      </w:r>
      <w:r>
        <w:rPr>
          <w:rFonts w:hint="eastAsia" w:hAnsi="??"/>
          <w:sz w:val="32"/>
          <w:szCs w:val="32"/>
        </w:rPr>
        <w:t>；验收结束后，按要求提交验收总结报告、绩效报告及相关档案资料；</w:t>
      </w:r>
      <w:r>
        <w:rPr>
          <w:rFonts w:hint="eastAsia" w:hAnsi="??"/>
          <w:color w:val="040404"/>
          <w:sz w:val="32"/>
          <w:szCs w:val="32"/>
        </w:rPr>
        <w:t>接受主管部门的监督，配合开展涉及验收工作的审计、检查和调查工作；协助主管部门完成与验收工作相关的其他事项。</w:t>
      </w:r>
    </w:p>
    <w:p>
      <w:pPr>
        <w:pStyle w:val="7"/>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firstLine="627" w:firstLineChars="200"/>
        <w:textAlignment w:val="auto"/>
        <w:rPr>
          <w:rFonts w:hAnsi="??"/>
          <w:sz w:val="32"/>
          <w:szCs w:val="32"/>
        </w:rPr>
      </w:pPr>
      <w:r>
        <w:rPr>
          <w:rFonts w:hint="eastAsia" w:hAnsi="仿宋"/>
          <w:b/>
          <w:bCs/>
          <w:sz w:val="32"/>
          <w:szCs w:val="32"/>
        </w:rPr>
        <w:t>第八条</w:t>
      </w:r>
      <w:r>
        <w:rPr>
          <w:rFonts w:hAnsi="仿宋"/>
          <w:sz w:val="32"/>
          <w:szCs w:val="32"/>
        </w:rPr>
        <w:t xml:space="preserve"> </w:t>
      </w:r>
      <w:r>
        <w:rPr>
          <w:rFonts w:ascii="Arial" w:hAnsi="Arial" w:eastAsia="Arial" w:cs="Arial"/>
          <w:color w:val="040404"/>
          <w:spacing w:val="0"/>
          <w:sz w:val="21"/>
          <w:szCs w:val="21"/>
        </w:rPr>
        <w:t>　</w:t>
      </w:r>
      <w:r>
        <w:rPr>
          <w:rFonts w:hint="eastAsia" w:hAnsi="??"/>
          <w:color w:val="000000"/>
          <w:sz w:val="32"/>
          <w:szCs w:val="32"/>
          <w:shd w:val="clear" w:color="auto" w:fill="FFFFFF"/>
        </w:rPr>
        <w:t>各区（市）科技主管部门、高校、科研机构以及其他具有项目推荐权的单位（以下简称项目主管单位）负责配合做好项目验收支撑、检查督促和信息反馈等工作。</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ascii="黑体" w:hAnsi="仿宋" w:eastAsia="黑体" w:cs="黑体"/>
          <w:kern w:val="0"/>
          <w:sz w:val="32"/>
          <w:szCs w:val="32"/>
        </w:rPr>
      </w:pPr>
    </w:p>
    <w:p>
      <w:pPr>
        <w:keepNext w:val="0"/>
        <w:keepLines w:val="0"/>
        <w:pageBreakBefore w:val="0"/>
        <w:widowControl w:val="0"/>
        <w:kinsoku/>
        <w:wordWrap/>
        <w:overflowPunct/>
        <w:topLinePunct w:val="0"/>
        <w:autoSpaceDE/>
        <w:autoSpaceDN/>
        <w:bidi w:val="0"/>
        <w:spacing w:line="560" w:lineRule="exact"/>
        <w:jc w:val="center"/>
        <w:textAlignment w:val="auto"/>
        <w:rPr>
          <w:rFonts w:ascii="黑体" w:hAnsi="仿宋" w:eastAsia="黑体" w:cs="Times New Roman"/>
          <w:kern w:val="0"/>
          <w:sz w:val="32"/>
          <w:szCs w:val="32"/>
        </w:rPr>
      </w:pPr>
      <w:r>
        <w:rPr>
          <w:rFonts w:hint="eastAsia" w:ascii="黑体" w:hAnsi="仿宋" w:eastAsia="黑体" w:cs="黑体"/>
          <w:kern w:val="0"/>
          <w:sz w:val="32"/>
          <w:szCs w:val="32"/>
        </w:rPr>
        <w:t>第三章   验收申请</w:t>
      </w:r>
    </w:p>
    <w:p>
      <w:pPr>
        <w:pStyle w:val="7"/>
        <w:keepNext w:val="0"/>
        <w:keepLines w:val="0"/>
        <w:pageBreakBefore w:val="0"/>
        <w:widowControl w:val="0"/>
        <w:shd w:val="clear" w:color="auto" w:fill="FFFFFF"/>
        <w:kinsoku/>
        <w:wordWrap/>
        <w:overflowPunct/>
        <w:topLinePunct w:val="0"/>
        <w:autoSpaceDE/>
        <w:autoSpaceDN/>
        <w:bidi w:val="0"/>
        <w:spacing w:beforeAutospacing="0" w:afterAutospacing="0" w:line="560" w:lineRule="exact"/>
        <w:ind w:firstLine="627" w:firstLineChars="200"/>
        <w:textAlignment w:val="auto"/>
        <w:rPr>
          <w:rFonts w:hAnsi="仿宋"/>
          <w:sz w:val="32"/>
          <w:szCs w:val="32"/>
        </w:rPr>
      </w:pPr>
      <w:r>
        <w:rPr>
          <w:rFonts w:hint="eastAsia" w:hAnsi="仿宋"/>
          <w:b/>
          <w:bCs/>
          <w:sz w:val="32"/>
          <w:szCs w:val="32"/>
        </w:rPr>
        <w:t>第九条</w:t>
      </w:r>
      <w:r>
        <w:rPr>
          <w:rFonts w:hAnsi="仿宋"/>
          <w:sz w:val="32"/>
          <w:szCs w:val="32"/>
        </w:rPr>
        <w:t xml:space="preserve">  </w:t>
      </w:r>
      <w:r>
        <w:rPr>
          <w:rFonts w:hint="eastAsia" w:hAnsi="仿宋"/>
          <w:sz w:val="32"/>
          <w:szCs w:val="32"/>
        </w:rPr>
        <w:t>市科技局下达组织验收工作通知，提前验收或者延期验收的项目须由项目承担单位主动提出申请。申请提前验收的，项目实施期限不得低于合同规定期限的三分之二；申请延期验收的，应当在项目实施期限届满六个月之前向主管部门提出延期申请，</w:t>
      </w:r>
      <w:r>
        <w:rPr>
          <w:rFonts w:hint="eastAsia" w:hAnsi="??"/>
          <w:color w:val="000000"/>
          <w:sz w:val="32"/>
          <w:szCs w:val="32"/>
        </w:rPr>
        <w:t>经项目主管部门审核后生效。已过执行期项目不得申请延期。</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left"/>
        <w:textAlignment w:val="auto"/>
        <w:rPr>
          <w:rFonts w:ascii="仿宋_GB2312" w:hAnsi="仿宋" w:eastAsia="仿宋_GB2312" w:cs="Times New Roman"/>
          <w:kern w:val="0"/>
          <w:sz w:val="32"/>
          <w:szCs w:val="32"/>
        </w:rPr>
      </w:pPr>
      <w:r>
        <w:rPr>
          <w:rFonts w:hint="eastAsia" w:ascii="仿宋_GB2312" w:hAnsi="仿宋" w:eastAsia="仿宋_GB2312" w:cs="仿宋_GB2312"/>
          <w:b/>
          <w:bCs/>
          <w:kern w:val="0"/>
          <w:sz w:val="32"/>
          <w:szCs w:val="32"/>
        </w:rPr>
        <w:t>第十条</w:t>
      </w:r>
      <w:r>
        <w:rPr>
          <w:rFonts w:ascii="仿宋_GB2312" w:hAnsi="仿宋" w:eastAsia="仿宋_GB2312" w:cs="仿宋_GB2312"/>
          <w:b/>
          <w:bCs/>
          <w:kern w:val="0"/>
          <w:sz w:val="32"/>
          <w:szCs w:val="32"/>
        </w:rPr>
        <w:t xml:space="preserve">  </w:t>
      </w:r>
      <w:r>
        <w:rPr>
          <w:rFonts w:hint="eastAsia" w:ascii="仿宋_GB2312" w:hAnsi="仿宋_GB2312" w:eastAsia="仿宋_GB2312" w:cs="仿宋_GB2312"/>
          <w:snapToGrid w:val="0"/>
          <w:kern w:val="0"/>
          <w:sz w:val="32"/>
          <w:szCs w:val="32"/>
        </w:rPr>
        <w:t>项目验收采取“一站式”服务模式，依托“青岛市科技计划项目管理信息系统”在线办理。</w:t>
      </w:r>
      <w:r>
        <w:rPr>
          <w:rFonts w:hint="eastAsia" w:ascii="仿宋_GB2312" w:hAnsi="仿宋" w:eastAsia="仿宋_GB2312" w:cs="仿宋_GB2312"/>
          <w:kern w:val="0"/>
          <w:sz w:val="32"/>
          <w:szCs w:val="32"/>
        </w:rPr>
        <w:t>项目承担单位应根据验收工作统一部署，按时通过青岛市科技计划项目管理信息系统提交验收材料，经项目主管单位审核后完成系统上报。项目管理专业机构对</w:t>
      </w:r>
      <w:r>
        <w:rPr>
          <w:rFonts w:hint="eastAsia" w:ascii="仿宋_GB2312" w:hAnsi="宋体" w:eastAsia="仿宋_GB2312" w:cs="仿宋_GB2312"/>
          <w:sz w:val="32"/>
          <w:szCs w:val="32"/>
        </w:rPr>
        <w:t>验收材料进行形式审查，对通过形式审查的项目组织专家进行验收评审。</w:t>
      </w:r>
    </w:p>
    <w:p>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ascii="仿宋_GB2312" w:hAnsi="仿宋" w:eastAsia="仿宋_GB2312" w:cs="Times New Roman"/>
          <w:kern w:val="0"/>
          <w:sz w:val="32"/>
          <w:szCs w:val="32"/>
        </w:rPr>
      </w:pPr>
      <w:r>
        <w:rPr>
          <w:rFonts w:hint="eastAsia" w:ascii="仿宋_GB2312" w:hAnsi="仿宋" w:eastAsia="仿宋_GB2312" w:cs="仿宋_GB2312"/>
          <w:b/>
          <w:bCs/>
          <w:kern w:val="0"/>
          <w:sz w:val="32"/>
          <w:szCs w:val="32"/>
        </w:rPr>
        <w:t>第十一条</w:t>
      </w:r>
      <w:r>
        <w:rPr>
          <w:rFonts w:ascii="仿宋_GB2312" w:hAnsi="仿宋" w:eastAsia="仿宋_GB2312" w:cs="仿宋_GB2312"/>
          <w:kern w:val="0"/>
          <w:sz w:val="32"/>
          <w:szCs w:val="32"/>
        </w:rPr>
        <w:t xml:space="preserve">  </w:t>
      </w:r>
      <w:r>
        <w:rPr>
          <w:rFonts w:hint="eastAsia" w:ascii="仿宋_GB2312" w:hAnsi="仿宋" w:eastAsia="仿宋_GB2312" w:cs="仿宋_GB2312"/>
          <w:kern w:val="0"/>
          <w:sz w:val="32"/>
          <w:szCs w:val="32"/>
        </w:rPr>
        <w:t>项目申请验收，需提交以下资料：</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宋体" w:eastAsia="仿宋_GB2312" w:cs="仿宋_GB2312"/>
          <w:sz w:val="32"/>
          <w:szCs w:val="32"/>
        </w:rPr>
      </w:pPr>
      <w:r>
        <w:rPr>
          <w:rFonts w:hint="eastAsia" w:ascii="仿宋_GB2312" w:hAnsi="宋体" w:eastAsia="仿宋_GB2312" w:cs="仿宋_GB2312"/>
          <w:sz w:val="32"/>
          <w:szCs w:val="32"/>
        </w:rPr>
        <w:t>（一）项目验收报告；</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宋体" w:eastAsia="仿宋_GB2312" w:cs="仿宋_GB2312"/>
          <w:color w:val="040404"/>
          <w:sz w:val="32"/>
          <w:szCs w:val="32"/>
        </w:rPr>
      </w:pPr>
      <w:r>
        <w:rPr>
          <w:rFonts w:hint="eastAsia" w:ascii="仿宋_GB2312" w:hAnsi="宋体" w:eastAsia="仿宋_GB2312" w:cs="仿宋_GB2312"/>
          <w:sz w:val="32"/>
          <w:szCs w:val="32"/>
        </w:rPr>
        <w:t>（二）</w:t>
      </w:r>
      <w:r>
        <w:rPr>
          <w:rFonts w:hint="eastAsia" w:ascii="仿宋_GB2312" w:hAnsi="宋体" w:eastAsia="仿宋_GB2312" w:cs="仿宋_GB2312"/>
          <w:color w:val="040404"/>
          <w:sz w:val="32"/>
          <w:szCs w:val="32"/>
        </w:rPr>
        <w:t xml:space="preserve">专项审计报告或者经费决算表及相关收支凭证。其中，资助金额为100万元（含）以上的项目，由项目承担单位提供第三方会计师事务所出具审计报告，审计范围应包括项目已拨付的财政经费与自筹资金，以及项目经济指标完成情况。资助金额小于100万元的项目由项目承担单位出具经费决算表并加盖公章；  </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宋体" w:eastAsia="仿宋_GB2312" w:cs="仿宋_GB2312"/>
          <w:color w:val="040404"/>
          <w:sz w:val="32"/>
          <w:szCs w:val="32"/>
        </w:rPr>
      </w:pPr>
      <w:r>
        <w:rPr>
          <w:rFonts w:hint="eastAsia" w:ascii="仿宋_GB2312" w:hAnsi="宋体" w:eastAsia="仿宋_GB2312" w:cs="仿宋_GB2312"/>
          <w:color w:val="040404"/>
          <w:sz w:val="32"/>
          <w:szCs w:val="32"/>
        </w:rPr>
        <w:t>（三）任务书约定提交</w:t>
      </w:r>
      <w:r>
        <w:rPr>
          <w:rFonts w:ascii="仿宋_GB2312" w:hAnsi="宋体" w:eastAsia="仿宋_GB2312" w:cs="仿宋_GB2312"/>
          <w:color w:val="040404"/>
          <w:sz w:val="32"/>
          <w:szCs w:val="32"/>
        </w:rPr>
        <w:t>的科技报告；</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宋体" w:eastAsia="仿宋_GB2312" w:cs="仿宋_GB2312"/>
          <w:sz w:val="32"/>
          <w:szCs w:val="32"/>
        </w:rPr>
      </w:pPr>
      <w:r>
        <w:rPr>
          <w:rFonts w:hint="eastAsia" w:ascii="仿宋_GB2312" w:hAnsi="宋体" w:eastAsia="仿宋_GB2312" w:cs="仿宋_GB2312"/>
          <w:color w:val="040404"/>
          <w:sz w:val="32"/>
          <w:szCs w:val="32"/>
        </w:rPr>
        <w:t>（四）</w:t>
      </w:r>
      <w:r>
        <w:rPr>
          <w:rFonts w:ascii="仿宋_GB2312" w:hAnsi="宋体" w:eastAsia="仿宋_GB2312" w:cs="仿宋_GB2312"/>
          <w:color w:val="040404"/>
          <w:sz w:val="32"/>
          <w:szCs w:val="32"/>
        </w:rPr>
        <w:t>项目调整协</w:t>
      </w:r>
      <w:r>
        <w:rPr>
          <w:rFonts w:ascii="仿宋_GB2312" w:hAnsi="宋体" w:eastAsia="仿宋_GB2312" w:cs="仿宋_GB2312"/>
          <w:sz w:val="32"/>
          <w:szCs w:val="32"/>
        </w:rPr>
        <w:t>议（项目如有调整需提供）；</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宋体" w:eastAsia="仿宋_GB2312" w:cs="仿宋_GB2312"/>
          <w:sz w:val="32"/>
          <w:szCs w:val="32"/>
        </w:rPr>
      </w:pPr>
      <w:r>
        <w:rPr>
          <w:rFonts w:hint="eastAsia" w:ascii="仿宋_GB2312" w:hAnsi="宋体" w:eastAsia="仿宋_GB2312" w:cs="仿宋_GB2312"/>
          <w:sz w:val="32"/>
          <w:szCs w:val="32"/>
        </w:rPr>
        <w:t>（五）</w:t>
      </w:r>
      <w:r>
        <w:rPr>
          <w:rFonts w:hint="eastAsia" w:ascii="仿宋_GB2312" w:hAnsi="宋体" w:eastAsia="仿宋_GB2312" w:cs="仿宋_GB2312"/>
          <w:color w:val="040404"/>
          <w:sz w:val="32"/>
          <w:szCs w:val="32"/>
        </w:rPr>
        <w:t>任务书约定指标完成情况的佐证材料</w:t>
      </w:r>
      <w:r>
        <w:rPr>
          <w:rFonts w:ascii="仿宋_GB2312" w:hAnsi="宋体" w:eastAsia="仿宋_GB2312" w:cs="仿宋_GB2312"/>
          <w:sz w:val="32"/>
          <w:szCs w:val="32"/>
        </w:rPr>
        <w:t>；</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宋体" w:eastAsia="仿宋_GB2312" w:cs="仿宋_GB2312"/>
          <w:sz w:val="32"/>
          <w:szCs w:val="32"/>
        </w:rPr>
      </w:pPr>
      <w:r>
        <w:rPr>
          <w:rFonts w:hint="eastAsia" w:ascii="仿宋_GB2312" w:hAnsi="宋体" w:eastAsia="仿宋_GB2312" w:cs="仿宋_GB2312"/>
          <w:sz w:val="32"/>
          <w:szCs w:val="32"/>
        </w:rPr>
        <w:t>（六）</w:t>
      </w:r>
      <w:r>
        <w:rPr>
          <w:rFonts w:ascii="仿宋_GB2312" w:hAnsi="宋体" w:eastAsia="仿宋_GB2312" w:cs="仿宋_GB2312"/>
          <w:sz w:val="32"/>
          <w:szCs w:val="32"/>
        </w:rPr>
        <w:t>项目承担单位认为需要补充的说明材料。</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宋体" w:eastAsia="仿宋_GB2312" w:cs="仿宋_GB2312"/>
          <w:sz w:val="32"/>
          <w:szCs w:val="32"/>
        </w:rPr>
      </w:pPr>
      <w:r>
        <w:rPr>
          <w:rFonts w:hint="eastAsia" w:ascii="仿宋_GB2312" w:hAnsi="宋体" w:eastAsia="仿宋_GB2312" w:cs="仿宋_GB2312"/>
          <w:color w:val="040404"/>
          <w:sz w:val="32"/>
          <w:szCs w:val="32"/>
        </w:rPr>
        <w:t>具体要求由主管部门在验收</w:t>
      </w:r>
      <w:r>
        <w:rPr>
          <w:rFonts w:ascii="仿宋_GB2312" w:hAnsi="宋体" w:eastAsia="仿宋_GB2312" w:cs="仿宋_GB2312"/>
          <w:color w:val="040404"/>
          <w:sz w:val="32"/>
          <w:szCs w:val="32"/>
        </w:rPr>
        <w:t>工作通知</w:t>
      </w:r>
      <w:r>
        <w:rPr>
          <w:rFonts w:hint="eastAsia" w:ascii="仿宋_GB2312" w:hAnsi="宋体" w:eastAsia="仿宋_GB2312" w:cs="仿宋_GB2312"/>
          <w:color w:val="040404"/>
          <w:sz w:val="32"/>
          <w:szCs w:val="32"/>
        </w:rPr>
        <w:t>中予以明确。</w:t>
      </w:r>
    </w:p>
    <w:p>
      <w:pPr>
        <w:pStyle w:val="7"/>
        <w:keepNext w:val="0"/>
        <w:keepLines w:val="0"/>
        <w:pageBreakBefore w:val="0"/>
        <w:widowControl w:val="0"/>
        <w:kinsoku/>
        <w:wordWrap/>
        <w:overflowPunct/>
        <w:topLinePunct w:val="0"/>
        <w:autoSpaceDE/>
        <w:autoSpaceDN/>
        <w:bidi w:val="0"/>
        <w:spacing w:before="0" w:beforeAutospacing="0" w:after="0" w:afterAutospacing="0" w:line="560" w:lineRule="exact"/>
        <w:ind w:firstLine="627" w:firstLineChars="200"/>
        <w:textAlignment w:val="auto"/>
        <w:rPr>
          <w:rFonts w:hAnsi="??"/>
          <w:color w:val="040404"/>
          <w:sz w:val="32"/>
          <w:szCs w:val="32"/>
        </w:rPr>
      </w:pPr>
      <w:r>
        <w:rPr>
          <w:rFonts w:hint="eastAsia" w:hAnsi="仿宋"/>
          <w:b/>
          <w:bCs/>
          <w:sz w:val="32"/>
          <w:szCs w:val="32"/>
        </w:rPr>
        <w:t>第十二条</w:t>
      </w:r>
      <w:r>
        <w:rPr>
          <w:rFonts w:hAnsi="仿宋"/>
          <w:sz w:val="32"/>
          <w:szCs w:val="32"/>
        </w:rPr>
        <w:t xml:space="preserve"> </w:t>
      </w:r>
      <w:r>
        <w:rPr>
          <w:rFonts w:hint="eastAsia" w:hAnsi="??"/>
          <w:sz w:val="32"/>
          <w:szCs w:val="32"/>
        </w:rPr>
        <w:t xml:space="preserve"> </w:t>
      </w:r>
      <w:r>
        <w:rPr>
          <w:rFonts w:hint="eastAsia" w:hAnsi="??"/>
          <w:color w:val="040404"/>
          <w:sz w:val="32"/>
          <w:szCs w:val="32"/>
        </w:rPr>
        <w:t>专业机构应当在项目承担单位提交验收材料后10个工作日完成对验收申请材料的形式审查。形式审查不通过的项目，项目承担单位应当按要求补充材料，并重新提交验收申请，逾期未提交的视为放弃材料补充机会。</w:t>
      </w:r>
    </w:p>
    <w:p>
      <w:pPr>
        <w:pStyle w:val="7"/>
        <w:keepNext w:val="0"/>
        <w:keepLines w:val="0"/>
        <w:pageBreakBefore w:val="0"/>
        <w:widowControl w:val="0"/>
        <w:kinsoku/>
        <w:wordWrap/>
        <w:overflowPunct/>
        <w:topLinePunct w:val="0"/>
        <w:autoSpaceDE/>
        <w:autoSpaceDN/>
        <w:bidi w:val="0"/>
        <w:spacing w:before="0" w:beforeAutospacing="0" w:after="0" w:afterAutospacing="0" w:line="560" w:lineRule="exact"/>
        <w:textAlignment w:val="auto"/>
        <w:rPr>
          <w:rFonts w:hAnsi="仿宋"/>
          <w:sz w:val="32"/>
          <w:szCs w:val="32"/>
        </w:rPr>
      </w:pPr>
    </w:p>
    <w:p>
      <w:pPr>
        <w:keepNext w:val="0"/>
        <w:keepLines w:val="0"/>
        <w:pageBreakBefore w:val="0"/>
        <w:widowControl w:val="0"/>
        <w:kinsoku/>
        <w:wordWrap/>
        <w:overflowPunct/>
        <w:topLinePunct w:val="0"/>
        <w:autoSpaceDE/>
        <w:autoSpaceDN/>
        <w:bidi w:val="0"/>
        <w:spacing w:line="560" w:lineRule="exact"/>
        <w:jc w:val="center"/>
        <w:textAlignment w:val="auto"/>
        <w:rPr>
          <w:rFonts w:ascii="黑体" w:hAnsi="仿宋" w:eastAsia="黑体" w:cs="黑体"/>
          <w:kern w:val="0"/>
          <w:sz w:val="32"/>
          <w:szCs w:val="32"/>
        </w:rPr>
      </w:pPr>
      <w:r>
        <w:rPr>
          <w:rFonts w:hint="eastAsia" w:ascii="黑体" w:hAnsi="仿宋" w:eastAsia="黑体" w:cs="黑体"/>
          <w:kern w:val="0"/>
          <w:sz w:val="32"/>
          <w:szCs w:val="32"/>
        </w:rPr>
        <w:t>第四章   验收管理</w:t>
      </w:r>
    </w:p>
    <w:p>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ascii="仿宋_GB2312" w:hAnsi="仿宋" w:eastAsia="仿宋_GB2312" w:cs="Times New Roman"/>
          <w:kern w:val="0"/>
          <w:sz w:val="32"/>
          <w:szCs w:val="32"/>
        </w:rPr>
      </w:pPr>
      <w:r>
        <w:rPr>
          <w:rFonts w:hint="eastAsia" w:ascii="仿宋_GB2312" w:hAnsi="仿宋" w:eastAsia="仿宋_GB2312" w:cs="仿宋_GB2312"/>
          <w:b/>
          <w:bCs/>
          <w:kern w:val="0"/>
          <w:sz w:val="32"/>
          <w:szCs w:val="32"/>
        </w:rPr>
        <w:t>第十三条</w:t>
      </w:r>
      <w:r>
        <w:rPr>
          <w:rFonts w:ascii="仿宋_GB2312" w:hAnsi="仿宋" w:eastAsia="仿宋_GB2312" w:cs="仿宋_GB2312"/>
          <w:kern w:val="0"/>
          <w:sz w:val="32"/>
          <w:szCs w:val="32"/>
        </w:rPr>
        <w:t xml:space="preserve">  </w:t>
      </w:r>
      <w:r>
        <w:rPr>
          <w:rFonts w:hint="eastAsia" w:ascii="仿宋_GB2312" w:hAnsi="仿宋" w:eastAsia="仿宋_GB2312" w:cs="仿宋_GB2312"/>
          <w:kern w:val="0"/>
          <w:sz w:val="32"/>
          <w:szCs w:val="32"/>
        </w:rPr>
        <w:t>项目验收采取网络会议评审和现场会议评审两种方式，市财政科技专项资金支持</w:t>
      </w:r>
      <w:r>
        <w:rPr>
          <w:rFonts w:ascii="仿宋_GB2312" w:hAnsi="仿宋" w:eastAsia="仿宋_GB2312" w:cs="仿宋_GB2312"/>
          <w:kern w:val="0"/>
          <w:sz w:val="32"/>
          <w:szCs w:val="32"/>
        </w:rPr>
        <w:t>100</w:t>
      </w:r>
      <w:r>
        <w:rPr>
          <w:rFonts w:hint="eastAsia" w:ascii="仿宋_GB2312" w:hAnsi="仿宋" w:eastAsia="仿宋_GB2312" w:cs="仿宋_GB2312"/>
          <w:kern w:val="0"/>
          <w:sz w:val="32"/>
          <w:szCs w:val="32"/>
        </w:rPr>
        <w:t>万元以下的项目，采取网络会议评审的方式验收，</w:t>
      </w:r>
      <w:r>
        <w:rPr>
          <w:rFonts w:ascii="仿宋_GB2312" w:hAnsi="仿宋" w:eastAsia="仿宋_GB2312" w:cs="仿宋_GB2312"/>
          <w:kern w:val="0"/>
          <w:sz w:val="32"/>
          <w:szCs w:val="32"/>
        </w:rPr>
        <w:t>100</w:t>
      </w:r>
      <w:r>
        <w:rPr>
          <w:rFonts w:hint="eastAsia" w:ascii="仿宋_GB2312" w:hAnsi="仿宋" w:eastAsia="仿宋_GB2312" w:cs="仿宋_GB2312"/>
          <w:kern w:val="0"/>
          <w:sz w:val="32"/>
          <w:szCs w:val="32"/>
        </w:rPr>
        <w:t>万元（含）以上的项目采取现场会议评审的方式验收。</w:t>
      </w:r>
    </w:p>
    <w:p>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left"/>
        <w:textAlignment w:val="auto"/>
        <w:rPr>
          <w:rFonts w:ascii="仿宋_GB2312" w:hAnsi="宋体" w:eastAsia="仿宋_GB2312" w:cs="仿宋_GB2312"/>
          <w:sz w:val="32"/>
          <w:szCs w:val="32"/>
        </w:rPr>
      </w:pPr>
      <w:r>
        <w:rPr>
          <w:rFonts w:hint="eastAsia" w:ascii="仿宋_GB2312" w:hAnsi="仿宋" w:eastAsia="仿宋_GB2312" w:cs="仿宋_GB2312"/>
          <w:b/>
          <w:bCs/>
          <w:kern w:val="0"/>
          <w:sz w:val="32"/>
          <w:szCs w:val="32"/>
        </w:rPr>
        <w:t>第十四条</w:t>
      </w:r>
      <w:r>
        <w:rPr>
          <w:rFonts w:ascii="仿宋_GB2312" w:hAnsi="仿宋" w:eastAsia="仿宋_GB2312" w:cs="仿宋_GB2312"/>
          <w:b/>
          <w:bCs/>
          <w:kern w:val="0"/>
          <w:sz w:val="32"/>
          <w:szCs w:val="32"/>
        </w:rPr>
        <w:t xml:space="preserve">  </w:t>
      </w:r>
      <w:r>
        <w:rPr>
          <w:rFonts w:ascii="serif" w:hAnsi="serif" w:eastAsia="serif" w:cs="serif"/>
          <w:color w:val="000000"/>
          <w:sz w:val="27"/>
          <w:szCs w:val="27"/>
          <w:shd w:val="clear" w:color="auto" w:fill="FFFFFF"/>
        </w:rPr>
        <w:t> </w:t>
      </w:r>
      <w:r>
        <w:rPr>
          <w:rFonts w:hint="eastAsia" w:ascii="仿宋_GB2312" w:hAnsi="宋体" w:eastAsia="仿宋_GB2312" w:cs="仿宋_GB2312"/>
          <w:color w:val="000000"/>
          <w:sz w:val="32"/>
          <w:szCs w:val="32"/>
        </w:rPr>
        <w:t>专业机构应按照随机、回避、保密、轮换等原则在专家库中抽取专家，组建验收评价专家组，专家组组长由技术专家担任。</w:t>
      </w:r>
      <w:r>
        <w:rPr>
          <w:rFonts w:hint="eastAsia" w:ascii="仿宋_GB2312" w:hAnsi="宋体" w:eastAsia="仿宋_GB2312" w:cs="仿宋_GB2312"/>
          <w:sz w:val="32"/>
          <w:szCs w:val="32"/>
        </w:rPr>
        <w:t>网络会议评审验收专家组成员不少于3人，至少由2名技术专家、1名财务专家等组成，按研究领域分批次集中进行，主要包括网上资料审核、专家评议、专家组出具验收结论等程序。网络会议验收过程中，验收专家如认为有必要，可通过电话、视频等方式对项目负责人开展质询。根据工作需求，视情况可进行现场会议评审。</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ascii="仿宋_GB2312" w:hAnsi="宋体" w:eastAsia="仿宋_GB2312" w:cs="仿宋_GB2312"/>
          <w:sz w:val="32"/>
          <w:szCs w:val="32"/>
        </w:rPr>
      </w:pPr>
      <w:r>
        <w:rPr>
          <w:rFonts w:hint="eastAsia" w:ascii="仿宋_GB2312" w:hAnsi="宋体" w:eastAsia="仿宋_GB2312" w:cs="仿宋_GB2312"/>
          <w:sz w:val="32"/>
          <w:szCs w:val="32"/>
        </w:rPr>
        <w:t>现场会议评审验收专家组成员一般不少于5人，重大项目不少于7人，其中财务专家2人。验收专家组根据项目实际情况，经现场考察、听取项目执行情况、质询讨论等程序形成验收结论。</w:t>
      </w:r>
    </w:p>
    <w:p>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ascii="仿宋_GB2312" w:hAnsi="宋体" w:eastAsia="仿宋_GB2312" w:cs="仿宋_GB2312"/>
          <w:sz w:val="32"/>
          <w:szCs w:val="32"/>
        </w:rPr>
      </w:pPr>
      <w:r>
        <w:rPr>
          <w:rFonts w:hint="eastAsia" w:ascii="仿宋_GB2312" w:hAnsi="仿宋" w:eastAsia="仿宋_GB2312" w:cs="仿宋_GB2312"/>
          <w:b/>
          <w:bCs/>
          <w:kern w:val="0"/>
          <w:sz w:val="32"/>
          <w:szCs w:val="32"/>
        </w:rPr>
        <w:t>第十五条</w:t>
      </w:r>
      <w:r>
        <w:rPr>
          <w:rFonts w:ascii="仿宋_GB2312" w:hAnsi="仿宋" w:eastAsia="仿宋_GB2312" w:cs="仿宋_GB2312"/>
          <w:b/>
          <w:bCs/>
          <w:kern w:val="0"/>
          <w:sz w:val="32"/>
          <w:szCs w:val="32"/>
        </w:rPr>
        <w:t xml:space="preserve">  </w:t>
      </w:r>
      <w:r>
        <w:rPr>
          <w:rFonts w:hint="eastAsia" w:ascii="仿宋_GB2312" w:hAnsi="宋体" w:eastAsia="仿宋_GB2312" w:cs="仿宋_GB2312"/>
          <w:sz w:val="32"/>
          <w:szCs w:val="32"/>
        </w:rPr>
        <w:t>验收专家应主动执行回避制度，不隐瞒与验收单位存在的产学研、技术入股、技术顾问或者其他合作利益关系、关联关系。验收专家均应按规定签署诚信承诺书。</w:t>
      </w:r>
    </w:p>
    <w:p>
      <w:pPr>
        <w:keepNext w:val="0"/>
        <w:keepLines w:val="0"/>
        <w:pageBreakBefore w:val="0"/>
        <w:widowControl w:val="0"/>
        <w:kinsoku/>
        <w:wordWrap/>
        <w:overflowPunct/>
        <w:topLinePunct w:val="0"/>
        <w:autoSpaceDE/>
        <w:autoSpaceDN/>
        <w:bidi w:val="0"/>
        <w:spacing w:line="560" w:lineRule="exact"/>
        <w:ind w:firstLine="643" w:firstLineChars="200"/>
        <w:jc w:val="left"/>
        <w:textAlignment w:val="auto"/>
        <w:rPr>
          <w:rFonts w:ascii="仿宋_GB2312" w:hAnsi="仿宋" w:eastAsia="仿宋_GB2312" w:cs="Times New Roman"/>
          <w:kern w:val="0"/>
          <w:sz w:val="32"/>
          <w:szCs w:val="32"/>
        </w:rPr>
      </w:pPr>
      <w:r>
        <w:rPr>
          <w:rFonts w:hint="eastAsia" w:ascii="仿宋_GB2312" w:hAnsi="仿宋" w:eastAsia="仿宋_GB2312" w:cs="仿宋_GB2312"/>
          <w:b/>
          <w:bCs/>
          <w:kern w:val="0"/>
          <w:sz w:val="32"/>
          <w:szCs w:val="32"/>
        </w:rPr>
        <w:t>第十六条</w:t>
      </w:r>
      <w:r>
        <w:rPr>
          <w:rFonts w:ascii="仿宋_GB2312" w:hAnsi="仿宋" w:eastAsia="仿宋_GB2312" w:cs="仿宋_GB2312"/>
          <w:kern w:val="0"/>
          <w:sz w:val="32"/>
          <w:szCs w:val="32"/>
        </w:rPr>
        <w:t xml:space="preserve">  </w:t>
      </w:r>
      <w:r>
        <w:rPr>
          <w:rFonts w:hint="eastAsia" w:ascii="仿宋_GB2312" w:hAnsi="仿宋" w:eastAsia="仿宋_GB2312" w:cs="仿宋_GB2312"/>
          <w:kern w:val="0"/>
          <w:sz w:val="32"/>
          <w:szCs w:val="32"/>
        </w:rPr>
        <w:t>验收结论分为通过验收、不通过验收和结题三类。</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ascii="仿宋_GB2312" w:hAnsi="仿宋" w:eastAsia="仿宋_GB2312" w:cs="Times New Roman"/>
          <w:kern w:val="0"/>
          <w:sz w:val="32"/>
          <w:szCs w:val="32"/>
        </w:rPr>
      </w:pPr>
      <w:r>
        <w:rPr>
          <w:rFonts w:hint="eastAsia" w:ascii="仿宋_GB2312" w:hAnsi="仿宋" w:eastAsia="仿宋_GB2312" w:cs="仿宋_GB2312"/>
          <w:kern w:val="0"/>
          <w:sz w:val="32"/>
          <w:szCs w:val="32"/>
        </w:rPr>
        <w:t>（一）完成项目任务书（合同、协议等）约定的约束性指标，预期性指标完成度达</w:t>
      </w:r>
      <w:r>
        <w:rPr>
          <w:rFonts w:ascii="仿宋_GB2312" w:hAnsi="仿宋" w:eastAsia="仿宋_GB2312" w:cs="仿宋_GB2312"/>
          <w:kern w:val="0"/>
          <w:sz w:val="32"/>
          <w:szCs w:val="32"/>
        </w:rPr>
        <w:t>80%</w:t>
      </w:r>
      <w:r>
        <w:rPr>
          <w:rFonts w:hint="eastAsia" w:ascii="仿宋_GB2312" w:hAnsi="仿宋" w:eastAsia="仿宋_GB2312" w:cs="仿宋_GB2312"/>
          <w:kern w:val="0"/>
          <w:sz w:val="32"/>
          <w:szCs w:val="32"/>
        </w:rPr>
        <w:t>的，验收结论为通过验收。</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ascii="仿宋_GB2312" w:hAnsi="仿宋" w:eastAsia="仿宋_GB2312" w:cs="Times New Roman"/>
          <w:kern w:val="0"/>
          <w:sz w:val="32"/>
          <w:szCs w:val="32"/>
        </w:rPr>
      </w:pPr>
      <w:r>
        <w:rPr>
          <w:rFonts w:hint="eastAsia" w:ascii="仿宋_GB2312" w:hAnsi="仿宋" w:eastAsia="仿宋_GB2312" w:cs="仿宋_GB2312"/>
          <w:kern w:val="0"/>
          <w:sz w:val="32"/>
          <w:szCs w:val="32"/>
        </w:rPr>
        <w:t>项目约束性指标是指项目研发应当获取的符合相关标准或检测的样品、样机等目标产品，或约定的技术应用示范工程等。预期性指标是指项目实施预期能够获得的成果，包括专利数量、论文数量、预期的经济效益指标等。</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ascii="仿宋_GB2312" w:hAnsi="仿宋" w:eastAsia="仿宋_GB2312" w:cs="Times New Roman"/>
          <w:kern w:val="0"/>
          <w:sz w:val="32"/>
          <w:szCs w:val="32"/>
        </w:rPr>
      </w:pPr>
      <w:r>
        <w:rPr>
          <w:rFonts w:hint="eastAsia" w:ascii="仿宋_GB2312" w:hAnsi="仿宋" w:eastAsia="仿宋_GB2312" w:cs="仿宋_GB2312"/>
          <w:kern w:val="0"/>
          <w:sz w:val="32"/>
          <w:szCs w:val="32"/>
        </w:rPr>
        <w:t>（二）有下列情形之一的，验收结论为不通过验收：</w:t>
      </w:r>
    </w:p>
    <w:p>
      <w:pPr>
        <w:pStyle w:val="7"/>
        <w:keepNext w:val="0"/>
        <w:keepLines w:val="0"/>
        <w:pageBreakBefore w:val="0"/>
        <w:widowControl w:val="0"/>
        <w:kinsoku/>
        <w:wordWrap/>
        <w:overflowPunct/>
        <w:topLinePunct w:val="0"/>
        <w:autoSpaceDE/>
        <w:autoSpaceDN/>
        <w:bidi w:val="0"/>
        <w:spacing w:before="0" w:beforeAutospacing="0" w:after="0" w:afterAutospacing="0" w:line="560" w:lineRule="exact"/>
        <w:ind w:firstLine="624" w:firstLineChars="200"/>
        <w:textAlignment w:val="auto"/>
        <w:rPr>
          <w:rFonts w:hAnsi="宋体"/>
          <w:spacing w:val="0"/>
          <w:kern w:val="2"/>
          <w:sz w:val="32"/>
          <w:szCs w:val="32"/>
        </w:rPr>
      </w:pPr>
      <w:r>
        <w:rPr>
          <w:rFonts w:hAnsi="仿宋"/>
          <w:sz w:val="32"/>
          <w:szCs w:val="32"/>
        </w:rPr>
        <w:t>1.</w:t>
      </w:r>
      <w:r>
        <w:rPr>
          <w:rFonts w:hint="eastAsia" w:hAnsi="宋体"/>
          <w:spacing w:val="0"/>
          <w:kern w:val="2"/>
          <w:sz w:val="32"/>
          <w:szCs w:val="32"/>
        </w:rPr>
        <w:t>非因不可抗力因素未完成项目任务书（合同、协议等）约定的约束性指标；</w:t>
      </w:r>
    </w:p>
    <w:p>
      <w:pPr>
        <w:pStyle w:val="7"/>
        <w:keepNext w:val="0"/>
        <w:keepLines w:val="0"/>
        <w:pageBreakBefore w:val="0"/>
        <w:widowControl w:val="0"/>
        <w:kinsoku/>
        <w:wordWrap/>
        <w:overflowPunct/>
        <w:topLinePunct w:val="0"/>
        <w:autoSpaceDE/>
        <w:autoSpaceDN/>
        <w:bidi w:val="0"/>
        <w:spacing w:before="0" w:beforeAutospacing="0" w:after="0" w:afterAutospacing="0" w:line="560" w:lineRule="exact"/>
        <w:ind w:firstLine="640" w:firstLineChars="200"/>
        <w:textAlignment w:val="auto"/>
        <w:rPr>
          <w:rFonts w:hAnsi="宋体"/>
          <w:spacing w:val="0"/>
          <w:kern w:val="2"/>
          <w:sz w:val="32"/>
          <w:szCs w:val="32"/>
        </w:rPr>
      </w:pPr>
      <w:r>
        <w:rPr>
          <w:rFonts w:hint="eastAsia" w:hAnsi="宋体"/>
          <w:color w:val="000000"/>
          <w:spacing w:val="0"/>
          <w:kern w:val="2"/>
          <w:sz w:val="32"/>
          <w:szCs w:val="32"/>
          <w:shd w:val="clear" w:color="auto" w:fill="FFFFFF"/>
        </w:rPr>
        <w:t>因任务书核心技术指标已由他人公开导致已无必要开展项目实施的情形，或是正常市场风险如市场供求关系变动、价格波动、竞争加剧、消费者需求变化等情形，都属于非不可抗力。</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ascii="仿宋_GB2312" w:hAnsi="仿宋" w:eastAsia="仿宋_GB2312" w:cs="仿宋_GB2312"/>
          <w:kern w:val="0"/>
          <w:sz w:val="32"/>
          <w:szCs w:val="32"/>
        </w:rPr>
      </w:pPr>
      <w:r>
        <w:rPr>
          <w:rFonts w:ascii="仿宋_GB2312" w:hAnsi="仿宋" w:eastAsia="仿宋_GB2312" w:cs="仿宋_GB2312"/>
          <w:kern w:val="0"/>
          <w:sz w:val="32"/>
          <w:szCs w:val="32"/>
        </w:rPr>
        <w:t>2.</w:t>
      </w:r>
      <w:r>
        <w:rPr>
          <w:rFonts w:hint="eastAsia" w:ascii="仿宋_GB2312" w:hAnsi="仿宋" w:eastAsia="仿宋_GB2312" w:cs="仿宋_GB2312"/>
          <w:kern w:val="0"/>
          <w:sz w:val="32"/>
          <w:szCs w:val="32"/>
        </w:rPr>
        <w:t>提供的验收材料、数据存在抄袭、弄虚作假、违反科研伦理要求等科研诚信问题的；</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ascii="仿宋_GB2312" w:hAnsi="仿宋" w:eastAsia="仿宋_GB2312" w:cs="Times New Roman"/>
          <w:kern w:val="0"/>
          <w:sz w:val="32"/>
          <w:szCs w:val="32"/>
        </w:rPr>
      </w:pPr>
      <w:r>
        <w:rPr>
          <w:rFonts w:ascii="仿宋_GB2312" w:hAnsi="仿宋" w:eastAsia="仿宋_GB2312" w:cs="仿宋_GB2312"/>
          <w:kern w:val="0"/>
          <w:sz w:val="32"/>
          <w:szCs w:val="32"/>
        </w:rPr>
        <w:t>3.</w:t>
      </w:r>
      <w:r>
        <w:rPr>
          <w:rFonts w:hint="eastAsia" w:ascii="仿宋_GB2312" w:hAnsi="仿宋" w:eastAsia="仿宋_GB2312" w:cs="仿宋_GB2312"/>
          <w:kern w:val="0"/>
          <w:sz w:val="32"/>
          <w:szCs w:val="32"/>
        </w:rPr>
        <w:t>未按规定提交变更申请、擅自变更项目承担单位、调整项目研发目标任务等重要事项；</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ascii="仿宋_GB2312" w:hAnsi="宋体" w:eastAsia="仿宋_GB2312" w:cs="仿宋_GB2312"/>
          <w:sz w:val="32"/>
          <w:szCs w:val="32"/>
        </w:rPr>
      </w:pPr>
      <w:r>
        <w:rPr>
          <w:rFonts w:ascii="仿宋_GB2312" w:hAnsi="仿宋" w:eastAsia="仿宋_GB2312" w:cs="仿宋_GB2312"/>
          <w:kern w:val="0"/>
          <w:sz w:val="32"/>
          <w:szCs w:val="32"/>
        </w:rPr>
        <w:t>4.</w:t>
      </w:r>
      <w:r>
        <w:rPr>
          <w:rFonts w:hint="eastAsia" w:ascii="仿宋_GB2312" w:hAnsi="宋体" w:eastAsia="仿宋_GB2312" w:cs="仿宋_GB2312"/>
          <w:sz w:val="32"/>
          <w:szCs w:val="32"/>
        </w:rPr>
        <w:t>存在挤占、挪用、套取、转移专项资金，拒不提供会计资料，提供虚假项目结题审计报告及其他严重违反国家财经纪律的行为；</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ascii="仿宋_GB2312" w:hAnsi="仿宋" w:eastAsia="仿宋_GB2312" w:cs="仿宋_GB2312"/>
          <w:kern w:val="0"/>
          <w:sz w:val="32"/>
          <w:szCs w:val="32"/>
        </w:rPr>
      </w:pPr>
      <w:r>
        <w:rPr>
          <w:rFonts w:ascii="仿宋_GB2312" w:hAnsi="仿宋" w:eastAsia="仿宋_GB2312" w:cs="仿宋_GB2312"/>
          <w:kern w:val="0"/>
          <w:sz w:val="32"/>
          <w:szCs w:val="32"/>
        </w:rPr>
        <w:t>5.</w:t>
      </w:r>
      <w:r>
        <w:rPr>
          <w:rFonts w:hint="eastAsia" w:ascii="仿宋_GB2312" w:hAnsi="仿宋" w:eastAsia="仿宋_GB2312" w:cs="仿宋_GB2312"/>
          <w:kern w:val="0"/>
          <w:sz w:val="32"/>
          <w:szCs w:val="32"/>
        </w:rPr>
        <w:t>无正当理由拒不参加项目验收的；</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ascii="仿宋_GB2312" w:hAnsi="仿宋_GB2312" w:eastAsia="仿宋_GB2312" w:cs="仿宋_GB2312"/>
          <w:snapToGrid w:val="0"/>
          <w:kern w:val="0"/>
          <w:sz w:val="32"/>
          <w:szCs w:val="32"/>
        </w:rPr>
      </w:pPr>
      <w:r>
        <w:rPr>
          <w:rFonts w:hint="eastAsia" w:ascii="仿宋_GB2312" w:hAnsi="仿宋" w:eastAsia="仿宋_GB2312" w:cs="仿宋_GB2312"/>
          <w:kern w:val="0"/>
          <w:sz w:val="32"/>
          <w:szCs w:val="32"/>
        </w:rPr>
        <w:t>⒍</w:t>
      </w:r>
      <w:r>
        <w:rPr>
          <w:rFonts w:hint="eastAsia" w:ascii="仿宋_GB2312" w:hAnsi="仿宋_GB2312" w:eastAsia="仿宋_GB2312" w:cs="仿宋_GB2312"/>
          <w:snapToGrid w:val="0"/>
          <w:sz w:val="32"/>
          <w:szCs w:val="32"/>
        </w:rPr>
        <w:t>验收专家组要求项目承担单位补充材料方可通过的，项目承担单位未在承诺期限内按专家意见补充材料。</w:t>
      </w:r>
    </w:p>
    <w:p>
      <w:pPr>
        <w:pStyle w:val="7"/>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firstLine="624" w:firstLineChars="200"/>
        <w:textAlignment w:val="auto"/>
        <w:rPr>
          <w:rFonts w:hAnsi="??" w:cs="Times New Roman"/>
          <w:sz w:val="32"/>
          <w:szCs w:val="32"/>
        </w:rPr>
      </w:pPr>
      <w:r>
        <w:rPr>
          <w:rFonts w:hint="eastAsia" w:hAnsi="??"/>
          <w:sz w:val="32"/>
          <w:szCs w:val="32"/>
        </w:rPr>
        <w:t>对不通过验收的项目，如发现弄虚作假及渎职，截留、挤占、挪用、骗取等行为，</w:t>
      </w:r>
      <w:r>
        <w:rPr>
          <w:rFonts w:hint="eastAsia" w:hAnsi="仿宋"/>
          <w:color w:val="040404"/>
          <w:sz w:val="32"/>
          <w:szCs w:val="32"/>
        </w:rPr>
        <w:t>按照科研诚信相关规定进行记录和评价，</w:t>
      </w:r>
      <w:r>
        <w:rPr>
          <w:rFonts w:hint="eastAsia" w:hAnsi="仿宋"/>
          <w:sz w:val="32"/>
          <w:szCs w:val="32"/>
        </w:rPr>
        <w:t>党员干部、公职人员涉嫌违规违纪违法的，移交有关部门</w:t>
      </w:r>
      <w:r>
        <w:rPr>
          <w:rFonts w:hint="eastAsia" w:hAnsi="??"/>
          <w:sz w:val="32"/>
          <w:szCs w:val="32"/>
        </w:rPr>
        <w:t>。</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ascii="仿宋_GB2312" w:hAnsi="仿宋" w:eastAsia="仿宋_GB2312" w:cs="Times New Roman"/>
          <w:kern w:val="0"/>
          <w:sz w:val="32"/>
          <w:szCs w:val="32"/>
        </w:rPr>
      </w:pPr>
      <w:r>
        <w:rPr>
          <w:rFonts w:hint="eastAsia" w:ascii="仿宋_GB2312" w:hAnsi="仿宋" w:eastAsia="仿宋_GB2312" w:cs="仿宋_GB2312"/>
          <w:kern w:val="0"/>
          <w:sz w:val="32"/>
          <w:szCs w:val="32"/>
        </w:rPr>
        <w:t>（三）有下列情形之一的，验收结论为结题：</w:t>
      </w:r>
    </w:p>
    <w:p>
      <w:pPr>
        <w:pStyle w:val="7"/>
        <w:keepNext w:val="0"/>
        <w:keepLines w:val="0"/>
        <w:pageBreakBefore w:val="0"/>
        <w:widowControl w:val="0"/>
        <w:kinsoku/>
        <w:wordWrap/>
        <w:overflowPunct/>
        <w:topLinePunct w:val="0"/>
        <w:autoSpaceDE/>
        <w:autoSpaceDN/>
        <w:bidi w:val="0"/>
        <w:spacing w:before="0" w:beforeAutospacing="0" w:after="0" w:afterAutospacing="0" w:line="560" w:lineRule="exact"/>
        <w:ind w:firstLine="624" w:firstLineChars="200"/>
        <w:textAlignment w:val="auto"/>
        <w:rPr>
          <w:rFonts w:hAnsi="仿宋"/>
          <w:sz w:val="32"/>
          <w:szCs w:val="32"/>
        </w:rPr>
      </w:pPr>
      <w:r>
        <w:rPr>
          <w:rFonts w:hint="eastAsia" w:hAnsi="仿宋"/>
          <w:sz w:val="32"/>
          <w:szCs w:val="32"/>
        </w:rPr>
        <w:t>1.经费使用合理合规，完成项目任务书（合同、协议等）约定的约束性指标，预期性指标完成度低于</w:t>
      </w:r>
      <w:r>
        <w:rPr>
          <w:rFonts w:hAnsi="仿宋"/>
          <w:sz w:val="32"/>
          <w:szCs w:val="32"/>
        </w:rPr>
        <w:t>80%</w:t>
      </w:r>
      <w:r>
        <w:rPr>
          <w:rFonts w:hint="eastAsia" w:hAnsi="仿宋"/>
          <w:sz w:val="32"/>
          <w:szCs w:val="32"/>
        </w:rPr>
        <w:t>，但经专家组认定项目承担单位和科技人员已经勤勉尽职，已按任务书要求开展相关研发工作；</w:t>
      </w:r>
    </w:p>
    <w:p>
      <w:pPr>
        <w:pStyle w:val="7"/>
        <w:keepNext w:val="0"/>
        <w:keepLines w:val="0"/>
        <w:pageBreakBefore w:val="0"/>
        <w:widowControl w:val="0"/>
        <w:kinsoku/>
        <w:wordWrap/>
        <w:overflowPunct/>
        <w:topLinePunct w:val="0"/>
        <w:autoSpaceDE/>
        <w:autoSpaceDN/>
        <w:bidi w:val="0"/>
        <w:spacing w:before="0" w:beforeAutospacing="0" w:after="0" w:afterAutospacing="0" w:line="560" w:lineRule="exact"/>
        <w:ind w:firstLine="624" w:firstLineChars="200"/>
        <w:textAlignment w:val="auto"/>
        <w:rPr>
          <w:rFonts w:hAnsi="仿宋" w:cs="Times New Roman"/>
          <w:sz w:val="32"/>
          <w:szCs w:val="32"/>
        </w:rPr>
      </w:pPr>
      <w:r>
        <w:rPr>
          <w:rFonts w:hint="eastAsia" w:hAnsi="仿宋"/>
          <w:sz w:val="32"/>
          <w:szCs w:val="32"/>
        </w:rPr>
        <w:t>2.虽未完成任务书约定指标，但在资助项目相关领域有较大突破或者较大代表性成果的。</w:t>
      </w:r>
    </w:p>
    <w:p>
      <w:pPr>
        <w:pStyle w:val="7"/>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firstLine="627" w:firstLineChars="200"/>
        <w:textAlignment w:val="auto"/>
        <w:rPr>
          <w:rFonts w:hAnsi="仿宋"/>
          <w:color w:val="040404"/>
          <w:sz w:val="32"/>
          <w:szCs w:val="32"/>
        </w:rPr>
      </w:pPr>
      <w:r>
        <w:rPr>
          <w:rFonts w:hint="eastAsia" w:hAnsi="微软雅黑" w:cs="宋体"/>
          <w:b/>
          <w:sz w:val="32"/>
          <w:szCs w:val="32"/>
        </w:rPr>
        <w:t>第十七条</w:t>
      </w:r>
      <w:r>
        <w:rPr>
          <w:rFonts w:hAnsi="仿宋"/>
          <w:sz w:val="32"/>
          <w:szCs w:val="32"/>
        </w:rPr>
        <w:t xml:space="preserve">  </w:t>
      </w:r>
      <w:r>
        <w:rPr>
          <w:rFonts w:hint="eastAsia" w:hAnsi="仿宋"/>
          <w:sz w:val="32"/>
          <w:szCs w:val="32"/>
        </w:rPr>
        <w:t xml:space="preserve"> </w:t>
      </w:r>
      <w:r>
        <w:rPr>
          <w:rFonts w:hint="eastAsia" w:hAnsi="仿宋"/>
          <w:color w:val="040404"/>
          <w:sz w:val="32"/>
          <w:szCs w:val="32"/>
        </w:rPr>
        <w:t>项目验收后，结余资金按照下列方式处理：</w:t>
      </w:r>
    </w:p>
    <w:p>
      <w:pPr>
        <w:pStyle w:val="7"/>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firstLine="624" w:firstLineChars="200"/>
        <w:textAlignment w:val="auto"/>
        <w:rPr>
          <w:rFonts w:hAnsi="仿宋"/>
          <w:color w:val="040404"/>
          <w:sz w:val="32"/>
          <w:szCs w:val="32"/>
        </w:rPr>
      </w:pPr>
      <w:r>
        <w:rPr>
          <w:rFonts w:hint="eastAsia" w:hAnsi="仿宋"/>
          <w:color w:val="040404"/>
          <w:sz w:val="32"/>
          <w:szCs w:val="32"/>
        </w:rPr>
        <w:t>（一）项目通过验收</w:t>
      </w:r>
      <w:r>
        <w:rPr>
          <w:rFonts w:hint="eastAsia" w:hAnsi="仿宋"/>
          <w:sz w:val="32"/>
          <w:szCs w:val="32"/>
        </w:rPr>
        <w:t>的</w:t>
      </w:r>
      <w:r>
        <w:rPr>
          <w:rFonts w:hint="eastAsia" w:hAnsi="仿宋"/>
          <w:color w:val="040404"/>
          <w:sz w:val="32"/>
          <w:szCs w:val="32"/>
        </w:rPr>
        <w:t>，且项目承担单位和项目负责人无不良科研信用记录的，结余资金及利息留归项目承担单位使用，统筹用于科研活动直接支出。项目承担单位应优先考虑原项目团队科研项目需求，并加强结余资金管理，健全结余资金盘活机制，加快资金使用进度。除涉密项目外，结余资金情况作为项目验收情况信息在项目承担单位范围内主动公开，接受监督。</w:t>
      </w:r>
      <w:r>
        <w:rPr>
          <w:rFonts w:hint="eastAsia" w:hAnsi="仿宋"/>
          <w:sz w:val="32"/>
          <w:szCs w:val="32"/>
        </w:rPr>
        <w:t>涉及分期拨付资金的，拨付剩余资金。</w:t>
      </w:r>
    </w:p>
    <w:p>
      <w:pPr>
        <w:pStyle w:val="7"/>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firstLine="624" w:firstLineChars="200"/>
        <w:textAlignment w:val="auto"/>
        <w:rPr>
          <w:rFonts w:hAnsi="仿宋"/>
          <w:color w:val="040404"/>
          <w:sz w:val="32"/>
          <w:szCs w:val="32"/>
        </w:rPr>
      </w:pPr>
      <w:r>
        <w:rPr>
          <w:rFonts w:hint="eastAsia" w:hAnsi="仿宋"/>
          <w:color w:val="040404"/>
          <w:sz w:val="32"/>
          <w:szCs w:val="32"/>
        </w:rPr>
        <w:t>（二）验收结论为结题的项目，项目承担单位应当按照主管部门要求，在退款通知下达之日起30日内退回结余资金。</w:t>
      </w:r>
      <w:r>
        <w:rPr>
          <w:rFonts w:hint="eastAsia" w:hAnsi="仿宋"/>
          <w:sz w:val="32"/>
          <w:szCs w:val="32"/>
        </w:rPr>
        <w:t>涉及分期拨付资金的</w:t>
      </w:r>
      <w:r>
        <w:rPr>
          <w:rFonts w:hint="eastAsia" w:hAnsi="仿宋"/>
          <w:color w:val="040404"/>
          <w:sz w:val="32"/>
          <w:szCs w:val="32"/>
        </w:rPr>
        <w:t>，不再拨付剩余资金。</w:t>
      </w:r>
    </w:p>
    <w:p>
      <w:pPr>
        <w:pStyle w:val="17"/>
        <w:keepNext w:val="0"/>
        <w:keepLines w:val="0"/>
        <w:pageBreakBefore w:val="0"/>
        <w:widowControl w:val="0"/>
        <w:kinsoku/>
        <w:wordWrap/>
        <w:overflowPunct/>
        <w:topLinePunct w:val="0"/>
        <w:autoSpaceDE/>
        <w:autoSpaceDN/>
        <w:bidi w:val="0"/>
        <w:adjustRightInd w:val="0"/>
        <w:snapToGrid w:val="0"/>
        <w:spacing w:line="580" w:lineRule="exact"/>
        <w:ind w:firstLine="624"/>
        <w:jc w:val="left"/>
        <w:textAlignment w:val="auto"/>
        <w:rPr>
          <w:rFonts w:ascii="仿宋_GB2312" w:hAnsi="仿宋" w:eastAsia="仿宋_GB2312" w:cs="仿宋_GB2312"/>
          <w:color w:val="040404"/>
          <w:spacing w:val="-4"/>
          <w:kern w:val="0"/>
          <w:sz w:val="32"/>
          <w:szCs w:val="32"/>
        </w:rPr>
      </w:pPr>
      <w:r>
        <w:rPr>
          <w:rFonts w:hint="eastAsia" w:ascii="仿宋_GB2312" w:hAnsi="仿宋" w:eastAsia="仿宋_GB2312" w:cs="仿宋_GB2312"/>
          <w:color w:val="040404"/>
          <w:spacing w:val="-4"/>
          <w:kern w:val="0"/>
          <w:sz w:val="32"/>
          <w:szCs w:val="32"/>
        </w:rPr>
        <w:t>（三）验收结论为不通过的项目，项目承担单位应当按照主管部门要求，在退款通知下达之日起30日内退回结余资金及使用不合规资金。涉及分期拨付资金的，不再拨付剩余资金。相关单位或人员涉及科研诚信问题的，依照相关规定进行处理。</w:t>
      </w:r>
    </w:p>
    <w:p>
      <w:pPr>
        <w:pStyle w:val="7"/>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firstLine="627" w:firstLineChars="200"/>
        <w:textAlignment w:val="auto"/>
        <w:rPr>
          <w:rFonts w:hAnsi="微软雅黑"/>
          <w:sz w:val="32"/>
          <w:szCs w:val="32"/>
        </w:rPr>
      </w:pPr>
      <w:r>
        <w:rPr>
          <w:rFonts w:hint="eastAsia" w:hAnsi="微软雅黑" w:cs="宋体"/>
          <w:b/>
          <w:sz w:val="32"/>
          <w:szCs w:val="32"/>
        </w:rPr>
        <w:t>第十八条</w:t>
      </w:r>
      <w:r>
        <w:rPr>
          <w:rFonts w:hAnsi="仿宋"/>
          <w:sz w:val="32"/>
          <w:szCs w:val="32"/>
        </w:rPr>
        <w:t xml:space="preserve"> </w:t>
      </w:r>
      <w:r>
        <w:rPr>
          <w:rFonts w:hint="eastAsia" w:hAnsi="仿宋"/>
          <w:sz w:val="32"/>
          <w:szCs w:val="32"/>
        </w:rPr>
        <w:t xml:space="preserve"> </w:t>
      </w:r>
      <w:r>
        <w:rPr>
          <w:rFonts w:hint="eastAsia" w:hAnsi="微软雅黑"/>
          <w:sz w:val="32"/>
          <w:szCs w:val="32"/>
        </w:rPr>
        <w:t>逾期未退缴资金项目按照以下程序处理：</w:t>
      </w:r>
    </w:p>
    <w:p>
      <w:pPr>
        <w:pStyle w:val="7"/>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firstLine="624" w:firstLineChars="200"/>
        <w:textAlignment w:val="auto"/>
        <w:rPr>
          <w:rFonts w:hAnsi="微软雅黑"/>
          <w:sz w:val="32"/>
          <w:szCs w:val="32"/>
        </w:rPr>
      </w:pPr>
      <w:r>
        <w:rPr>
          <w:rFonts w:hint="eastAsia" w:hAnsi="微软雅黑"/>
          <w:sz w:val="32"/>
          <w:szCs w:val="32"/>
        </w:rPr>
        <w:t>（一）</w:t>
      </w:r>
      <w:r>
        <w:rPr>
          <w:rFonts w:hint="eastAsia" w:hAnsi="仿宋"/>
          <w:color w:val="040404"/>
          <w:sz w:val="32"/>
          <w:szCs w:val="32"/>
        </w:rPr>
        <w:t>主管部门</w:t>
      </w:r>
      <w:r>
        <w:rPr>
          <w:rFonts w:hint="eastAsia" w:hAnsi="微软雅黑"/>
          <w:sz w:val="32"/>
          <w:szCs w:val="32"/>
        </w:rPr>
        <w:t>委托法律中介机构向退缴资金计划项目承担单位发送律师函进行资金催缴；</w:t>
      </w:r>
    </w:p>
    <w:p>
      <w:pPr>
        <w:pStyle w:val="7"/>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firstLine="624" w:firstLineChars="200"/>
        <w:textAlignment w:val="auto"/>
        <w:rPr>
          <w:rFonts w:hAnsi="微软雅黑"/>
          <w:sz w:val="32"/>
          <w:szCs w:val="32"/>
        </w:rPr>
      </w:pPr>
      <w:r>
        <w:rPr>
          <w:rFonts w:hint="eastAsia" w:hAnsi="微软雅黑"/>
          <w:sz w:val="32"/>
          <w:szCs w:val="32"/>
        </w:rPr>
        <w:t>（二）项目承担单位接到律师函后，应在</w:t>
      </w:r>
      <w:r>
        <w:rPr>
          <w:rFonts w:hAnsi="微软雅黑"/>
          <w:sz w:val="32"/>
          <w:szCs w:val="32"/>
        </w:rPr>
        <w:t>15</w:t>
      </w:r>
      <w:r>
        <w:rPr>
          <w:rFonts w:hint="eastAsia" w:hAnsi="微软雅黑"/>
          <w:sz w:val="32"/>
          <w:szCs w:val="32"/>
        </w:rPr>
        <w:t>天内将应退缴资金足额缴纳至</w:t>
      </w:r>
      <w:r>
        <w:rPr>
          <w:rFonts w:hint="eastAsia" w:hAnsi="仿宋"/>
          <w:color w:val="040404"/>
          <w:sz w:val="32"/>
          <w:szCs w:val="32"/>
        </w:rPr>
        <w:t>主管部门</w:t>
      </w:r>
      <w:r>
        <w:rPr>
          <w:rFonts w:hint="eastAsia" w:hAnsi="微软雅黑"/>
          <w:sz w:val="32"/>
          <w:szCs w:val="32"/>
        </w:rPr>
        <w:t>指定账户，并将缴款银行凭证复印件报市科技局计划项目管理处室，缴纳时间以银行凭证为准；</w:t>
      </w:r>
    </w:p>
    <w:p>
      <w:pPr>
        <w:pStyle w:val="7"/>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firstLine="624" w:firstLineChars="200"/>
        <w:textAlignment w:val="auto"/>
        <w:rPr>
          <w:rFonts w:hAnsi="微软雅黑"/>
          <w:sz w:val="32"/>
          <w:szCs w:val="32"/>
        </w:rPr>
      </w:pPr>
      <w:r>
        <w:rPr>
          <w:rFonts w:hint="eastAsia" w:hAnsi="微软雅黑"/>
          <w:sz w:val="32"/>
          <w:szCs w:val="32"/>
        </w:rPr>
        <w:t>（三）对经律师函催缴仍未按期退缴资金的计划项目，</w:t>
      </w:r>
      <w:r>
        <w:rPr>
          <w:rFonts w:hint="eastAsia" w:hAnsi="仿宋"/>
          <w:color w:val="040404"/>
          <w:sz w:val="32"/>
          <w:szCs w:val="32"/>
        </w:rPr>
        <w:t>主管部门</w:t>
      </w:r>
      <w:r>
        <w:rPr>
          <w:rFonts w:hint="eastAsia" w:hAnsi="微软雅黑"/>
          <w:sz w:val="32"/>
          <w:szCs w:val="32"/>
        </w:rPr>
        <w:t>通过司法渠道进行追缴。</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Ansi="微软雅黑"/>
          <w:sz w:val="32"/>
          <w:szCs w:val="32"/>
        </w:rPr>
      </w:pPr>
      <w:r>
        <w:rPr>
          <w:rFonts w:hint="eastAsia" w:ascii="仿宋_GB2312" w:hAnsi="仿宋" w:eastAsia="仿宋_GB2312" w:cs="仿宋_GB2312"/>
          <w:kern w:val="0"/>
          <w:sz w:val="32"/>
          <w:szCs w:val="32"/>
        </w:rPr>
        <w:t>项目承担</w:t>
      </w:r>
      <w:r>
        <w:rPr>
          <w:rFonts w:hint="eastAsia" w:ascii="仿宋_GB2312" w:hAnsi="仿宋" w:eastAsia="仿宋_GB2312" w:cs="仿宋_GB2312"/>
          <w:spacing w:val="-4"/>
          <w:kern w:val="0"/>
          <w:sz w:val="32"/>
          <w:szCs w:val="32"/>
        </w:rPr>
        <w:t>单位</w:t>
      </w:r>
      <w:r>
        <w:rPr>
          <w:rFonts w:hint="eastAsia" w:ascii="仿宋_GB2312" w:hAnsi="仿宋" w:eastAsia="仿宋_GB2312" w:cs="仿宋_GB2312"/>
          <w:color w:val="040404"/>
          <w:spacing w:val="-4"/>
          <w:kern w:val="0"/>
          <w:sz w:val="32"/>
          <w:szCs w:val="32"/>
        </w:rPr>
        <w:t>在退回财政资金之前，主管部门不予受理和立项该项目承担单位和项目负责人参与的市科技计划项目。</w:t>
      </w:r>
    </w:p>
    <w:p>
      <w:pPr>
        <w:pStyle w:val="7"/>
        <w:keepNext w:val="0"/>
        <w:keepLines w:val="0"/>
        <w:pageBreakBefore w:val="0"/>
        <w:widowControl w:val="0"/>
        <w:kinsoku/>
        <w:wordWrap/>
        <w:overflowPunct/>
        <w:topLinePunct w:val="0"/>
        <w:autoSpaceDE/>
        <w:autoSpaceDN/>
        <w:bidi w:val="0"/>
        <w:spacing w:before="0" w:beforeAutospacing="0" w:after="0" w:afterAutospacing="0" w:line="560" w:lineRule="exact"/>
        <w:ind w:firstLine="627" w:firstLineChars="200"/>
        <w:textAlignment w:val="auto"/>
        <w:rPr>
          <w:rFonts w:hAnsi="仿宋"/>
          <w:color w:val="040404"/>
          <w:sz w:val="32"/>
          <w:szCs w:val="32"/>
        </w:rPr>
      </w:pPr>
      <w:r>
        <w:rPr>
          <w:rFonts w:hint="eastAsia" w:hAnsi="微软雅黑"/>
          <w:b/>
          <w:sz w:val="32"/>
          <w:szCs w:val="32"/>
        </w:rPr>
        <w:t>第十九条</w:t>
      </w:r>
      <w:r>
        <w:rPr>
          <w:rFonts w:hAnsi="微软雅黑"/>
          <w:b/>
          <w:sz w:val="32"/>
          <w:szCs w:val="32"/>
        </w:rPr>
        <w:t xml:space="preserve"> </w:t>
      </w:r>
      <w:r>
        <w:rPr>
          <w:rFonts w:hint="eastAsia" w:hAnsi="微软雅黑"/>
          <w:b/>
          <w:sz w:val="32"/>
          <w:szCs w:val="32"/>
        </w:rPr>
        <w:t xml:space="preserve"> </w:t>
      </w:r>
      <w:r>
        <w:rPr>
          <w:rFonts w:hint="eastAsia" w:hAnsi="仿宋"/>
          <w:sz w:val="32"/>
          <w:szCs w:val="32"/>
        </w:rPr>
        <w:t>项目承担单位、</w:t>
      </w:r>
      <w:r>
        <w:rPr>
          <w:rFonts w:hint="eastAsia" w:hAnsi="仿宋"/>
          <w:color w:val="000000"/>
          <w:sz w:val="32"/>
          <w:szCs w:val="32"/>
        </w:rPr>
        <w:t>项目负责人</w:t>
      </w:r>
      <w:r>
        <w:rPr>
          <w:rFonts w:hint="eastAsia" w:hAnsi="仿宋"/>
          <w:sz w:val="32"/>
          <w:szCs w:val="32"/>
        </w:rPr>
        <w:t>对验收结论有异议的，</w:t>
      </w:r>
      <w:r>
        <w:rPr>
          <w:rFonts w:hint="eastAsia" w:hAnsi="仿宋"/>
          <w:color w:val="000000"/>
          <w:sz w:val="32"/>
          <w:szCs w:val="32"/>
        </w:rPr>
        <w:t>应</w:t>
      </w:r>
      <w:r>
        <w:rPr>
          <w:rFonts w:hint="eastAsia" w:hAnsi="仿宋"/>
          <w:sz w:val="32"/>
          <w:szCs w:val="32"/>
        </w:rPr>
        <w:t>在验收结论公示期内</w:t>
      </w:r>
      <w:r>
        <w:rPr>
          <w:rFonts w:hint="eastAsia" w:hAnsi="仿宋"/>
          <w:color w:val="000000"/>
          <w:sz w:val="32"/>
          <w:szCs w:val="32"/>
        </w:rPr>
        <w:t>或收到验收意见之日起10个工作日内</w:t>
      </w:r>
      <w:r>
        <w:rPr>
          <w:rFonts w:hint="eastAsia" w:hAnsi="仿宋"/>
          <w:sz w:val="32"/>
          <w:szCs w:val="32"/>
        </w:rPr>
        <w:t>，向</w:t>
      </w:r>
      <w:r>
        <w:rPr>
          <w:rFonts w:hint="eastAsia" w:hAnsi="仿宋"/>
          <w:color w:val="040404"/>
          <w:sz w:val="32"/>
          <w:szCs w:val="32"/>
        </w:rPr>
        <w:t>主管部门</w:t>
      </w:r>
      <w:r>
        <w:rPr>
          <w:rFonts w:hint="eastAsia" w:hAnsi="仿宋"/>
          <w:sz w:val="32"/>
          <w:szCs w:val="32"/>
        </w:rPr>
        <w:t>提出书面申诉，原则上只能申请1次。</w:t>
      </w:r>
      <w:r>
        <w:rPr>
          <w:rFonts w:hint="eastAsia" w:hAnsi="仿宋"/>
          <w:color w:val="000000"/>
          <w:sz w:val="32"/>
          <w:szCs w:val="32"/>
        </w:rPr>
        <w:t>单位申请应加盖公章，个人申请应进行签名。</w:t>
      </w:r>
      <w:r>
        <w:rPr>
          <w:rFonts w:hint="eastAsia" w:hAnsi="仿宋"/>
          <w:color w:val="040404"/>
          <w:sz w:val="32"/>
          <w:szCs w:val="32"/>
        </w:rPr>
        <w:t>主管部门收到书面异议的，应当对异议内容进行审核，必要时可以组织专家进行论证，形成处理决定并告知提出异议的单位或者个人。</w:t>
      </w:r>
    </w:p>
    <w:p>
      <w:pPr>
        <w:pStyle w:val="7"/>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firstLine="624" w:firstLineChars="200"/>
        <w:textAlignment w:val="auto"/>
        <w:rPr>
          <w:rFonts w:hAnsi="仿宋"/>
          <w:color w:val="040404"/>
          <w:sz w:val="32"/>
          <w:szCs w:val="32"/>
        </w:rPr>
      </w:pPr>
      <w:r>
        <w:rPr>
          <w:rFonts w:hint="eastAsia" w:hAnsi="仿宋"/>
          <w:color w:val="040404"/>
          <w:sz w:val="32"/>
          <w:szCs w:val="32"/>
        </w:rPr>
        <w:t>具有以下情形之一的，异议申请不予受理：</w:t>
      </w:r>
    </w:p>
    <w:p>
      <w:pPr>
        <w:pStyle w:val="7"/>
        <w:keepNext w:val="0"/>
        <w:keepLines w:val="0"/>
        <w:pageBreakBefore w:val="0"/>
        <w:widowControl w:val="0"/>
        <w:shd w:val="clear" w:color="auto" w:fill="FFFFFF"/>
        <w:kinsoku/>
        <w:wordWrap/>
        <w:overflowPunct/>
        <w:topLinePunct w:val="0"/>
        <w:autoSpaceDE/>
        <w:autoSpaceDN/>
        <w:bidi w:val="0"/>
        <w:spacing w:before="0" w:beforeAutospacing="0" w:after="0" w:afterAutospacing="0" w:line="560" w:lineRule="exact"/>
        <w:ind w:firstLine="624" w:firstLineChars="200"/>
        <w:textAlignment w:val="auto"/>
        <w:rPr>
          <w:rFonts w:hAnsi="仿宋"/>
          <w:color w:val="040404"/>
          <w:sz w:val="32"/>
          <w:szCs w:val="32"/>
        </w:rPr>
      </w:pPr>
      <w:r>
        <w:rPr>
          <w:rFonts w:hint="eastAsia" w:hAnsi="仿宋"/>
          <w:color w:val="040404"/>
          <w:sz w:val="32"/>
          <w:szCs w:val="32"/>
        </w:rPr>
        <w:t>（一）提交书面异议申请的时间超过规定截止日期的；</w:t>
      </w:r>
    </w:p>
    <w:p>
      <w:pPr>
        <w:pStyle w:val="7"/>
        <w:keepNext w:val="0"/>
        <w:keepLines w:val="0"/>
        <w:pageBreakBefore w:val="0"/>
        <w:widowControl w:val="0"/>
        <w:kinsoku/>
        <w:wordWrap/>
        <w:overflowPunct/>
        <w:topLinePunct w:val="0"/>
        <w:autoSpaceDE/>
        <w:autoSpaceDN/>
        <w:bidi w:val="0"/>
        <w:spacing w:before="0" w:beforeAutospacing="0" w:after="0" w:afterAutospacing="0" w:line="560" w:lineRule="exact"/>
        <w:ind w:firstLine="624" w:firstLineChars="200"/>
        <w:textAlignment w:val="auto"/>
        <w:rPr>
          <w:rFonts w:hAnsi="仿宋"/>
          <w:color w:val="040404"/>
          <w:sz w:val="32"/>
          <w:szCs w:val="32"/>
        </w:rPr>
      </w:pPr>
      <w:r>
        <w:rPr>
          <w:rFonts w:hint="eastAsia" w:hAnsi="仿宋"/>
          <w:color w:val="040404"/>
          <w:sz w:val="32"/>
          <w:szCs w:val="32"/>
        </w:rPr>
        <w:t>（二）异议申请内容或者举证材料不全的；</w:t>
      </w:r>
    </w:p>
    <w:p>
      <w:pPr>
        <w:pStyle w:val="7"/>
        <w:keepNext w:val="0"/>
        <w:keepLines w:val="0"/>
        <w:pageBreakBefore w:val="0"/>
        <w:widowControl w:val="0"/>
        <w:kinsoku/>
        <w:wordWrap/>
        <w:overflowPunct/>
        <w:topLinePunct w:val="0"/>
        <w:autoSpaceDE/>
        <w:autoSpaceDN/>
        <w:bidi w:val="0"/>
        <w:spacing w:before="0" w:beforeAutospacing="0" w:after="0" w:afterAutospacing="0" w:line="560" w:lineRule="exact"/>
        <w:ind w:firstLine="624" w:firstLineChars="200"/>
        <w:textAlignment w:val="auto"/>
        <w:rPr>
          <w:rFonts w:hAnsi="仿宋"/>
          <w:color w:val="040404"/>
          <w:sz w:val="32"/>
          <w:szCs w:val="32"/>
        </w:rPr>
      </w:pPr>
      <w:r>
        <w:rPr>
          <w:rFonts w:hint="eastAsia" w:hAnsi="仿宋"/>
          <w:color w:val="040404"/>
          <w:sz w:val="32"/>
          <w:szCs w:val="32"/>
        </w:rPr>
        <w:t>（三）无充足证据，对验收评审专家的学术判断有不同意见的。　　</w:t>
      </w:r>
    </w:p>
    <w:p>
      <w:pPr>
        <w:pStyle w:val="17"/>
        <w:keepNext w:val="0"/>
        <w:keepLines w:val="0"/>
        <w:pageBreakBefore w:val="0"/>
        <w:widowControl w:val="0"/>
        <w:numPr>
          <w:ilvl w:val="0"/>
          <w:numId w:val="2"/>
        </w:numPr>
        <w:kinsoku/>
        <w:wordWrap/>
        <w:overflowPunct/>
        <w:topLinePunct w:val="0"/>
        <w:autoSpaceDE/>
        <w:autoSpaceDN/>
        <w:bidi w:val="0"/>
        <w:spacing w:line="560" w:lineRule="exact"/>
        <w:ind w:firstLineChars="0"/>
        <w:jc w:val="center"/>
        <w:textAlignment w:val="auto"/>
        <w:rPr>
          <w:rFonts w:ascii="黑体" w:hAnsi="仿宋" w:eastAsia="黑体" w:cs="黑体"/>
          <w:color w:val="040404"/>
          <w:kern w:val="0"/>
          <w:sz w:val="32"/>
          <w:szCs w:val="32"/>
        </w:rPr>
      </w:pPr>
      <w:r>
        <w:rPr>
          <w:rFonts w:hint="eastAsia" w:ascii="黑体" w:hAnsi="仿宋" w:eastAsia="黑体" w:cs="黑体"/>
          <w:color w:val="040404"/>
          <w:kern w:val="0"/>
          <w:sz w:val="32"/>
          <w:szCs w:val="32"/>
        </w:rPr>
        <w:t xml:space="preserve">  法律责任</w:t>
      </w:r>
    </w:p>
    <w:p>
      <w:pPr>
        <w:keepNext w:val="0"/>
        <w:keepLines w:val="0"/>
        <w:pageBreakBefore w:val="0"/>
        <w:widowControl w:val="0"/>
        <w:kinsoku/>
        <w:wordWrap/>
        <w:overflowPunct/>
        <w:topLinePunct w:val="0"/>
        <w:autoSpaceDE/>
        <w:autoSpaceDN/>
        <w:bidi w:val="0"/>
        <w:spacing w:line="560" w:lineRule="exact"/>
        <w:ind w:firstLine="420" w:firstLineChars="200"/>
        <w:jc w:val="left"/>
        <w:textAlignment w:val="auto"/>
        <w:rPr>
          <w:rFonts w:ascii="仿宋_GB2312" w:hAnsi="微软雅黑" w:eastAsia="仿宋_GB2312" w:cs="仿宋_GB2312"/>
          <w:b/>
          <w:spacing w:val="-4"/>
          <w:kern w:val="0"/>
          <w:sz w:val="32"/>
          <w:szCs w:val="32"/>
        </w:rPr>
      </w:pPr>
      <w:r>
        <w:rPr>
          <w:rFonts w:ascii="Arial" w:hAnsi="Arial" w:eastAsia="Arial" w:cs="Arial"/>
          <w:color w:val="040404"/>
          <w:kern w:val="0"/>
        </w:rPr>
        <w:t>　　</w:t>
      </w:r>
      <w:r>
        <w:rPr>
          <w:rFonts w:hint="eastAsia" w:ascii="仿宋_GB2312" w:hAnsi="微软雅黑" w:eastAsia="仿宋_GB2312" w:cs="仿宋_GB2312"/>
          <w:b/>
          <w:spacing w:val="-4"/>
          <w:kern w:val="0"/>
          <w:sz w:val="32"/>
          <w:szCs w:val="32"/>
        </w:rPr>
        <w:t xml:space="preserve">第二十条  </w:t>
      </w:r>
      <w:r>
        <w:rPr>
          <w:rFonts w:hint="eastAsia" w:ascii="仿宋_GB2312" w:hAnsi="仿宋" w:eastAsia="仿宋_GB2312" w:cs="仿宋_GB2312"/>
          <w:color w:val="040404"/>
          <w:spacing w:val="-4"/>
          <w:kern w:val="0"/>
          <w:sz w:val="32"/>
          <w:szCs w:val="32"/>
        </w:rPr>
        <w:t>验收专家组成员出现索贿受贿、滥用职权、玩忽职守、徇私舞弊等违法违纪行为的，将终止或者取消其参与科技计划项目各项任务和工作的资格；视情况撤销专家组已作出的相关结论，重新组织相关评审工作。同时按照科研诚信相关规定进行记录和评价，并依法追究相应责任。</w:t>
      </w:r>
    </w:p>
    <w:p>
      <w:pPr>
        <w:keepNext w:val="0"/>
        <w:keepLines w:val="0"/>
        <w:pageBreakBefore w:val="0"/>
        <w:widowControl w:val="0"/>
        <w:kinsoku/>
        <w:wordWrap/>
        <w:overflowPunct/>
        <w:topLinePunct w:val="0"/>
        <w:autoSpaceDE/>
        <w:autoSpaceDN/>
        <w:bidi w:val="0"/>
        <w:spacing w:line="560" w:lineRule="exact"/>
        <w:ind w:firstLine="627" w:firstLineChars="200"/>
        <w:jc w:val="left"/>
        <w:textAlignment w:val="auto"/>
        <w:rPr>
          <w:rFonts w:ascii="仿宋_GB2312" w:hAnsi="仿宋" w:eastAsia="仿宋_GB2312" w:cs="仿宋_GB2312"/>
          <w:color w:val="040404"/>
          <w:spacing w:val="-4"/>
          <w:kern w:val="0"/>
          <w:sz w:val="32"/>
          <w:szCs w:val="32"/>
        </w:rPr>
      </w:pPr>
      <w:r>
        <w:rPr>
          <w:rStyle w:val="11"/>
          <w:rFonts w:hint="eastAsia" w:ascii="仿宋_GB2312" w:hAnsi="微软雅黑" w:eastAsia="仿宋_GB2312" w:cs="仿宋_GB2312"/>
          <w:color w:val="040404"/>
          <w:spacing w:val="-4"/>
          <w:kern w:val="0"/>
          <w:sz w:val="32"/>
          <w:szCs w:val="32"/>
        </w:rPr>
        <w:t>第二十</w:t>
      </w:r>
      <w:r>
        <w:rPr>
          <w:rFonts w:hint="eastAsia" w:ascii="仿宋_GB2312" w:hAnsi="微软雅黑" w:eastAsia="仿宋_GB2312" w:cs="仿宋_GB2312"/>
          <w:b/>
          <w:spacing w:val="-4"/>
          <w:kern w:val="0"/>
          <w:sz w:val="32"/>
          <w:szCs w:val="32"/>
        </w:rPr>
        <w:t>一</w:t>
      </w:r>
      <w:r>
        <w:rPr>
          <w:rStyle w:val="11"/>
          <w:rFonts w:hint="eastAsia" w:ascii="仿宋_GB2312" w:hAnsi="微软雅黑" w:eastAsia="仿宋_GB2312" w:cs="仿宋_GB2312"/>
          <w:color w:val="040404"/>
          <w:spacing w:val="-4"/>
          <w:kern w:val="0"/>
          <w:sz w:val="32"/>
          <w:szCs w:val="32"/>
        </w:rPr>
        <w:t>条 </w:t>
      </w:r>
      <w:r>
        <w:rPr>
          <w:rFonts w:hint="eastAsia" w:ascii="仿宋_GB2312" w:hAnsi="仿宋" w:eastAsia="仿宋_GB2312" w:cs="仿宋_GB2312"/>
          <w:color w:val="040404"/>
          <w:spacing w:val="-4"/>
          <w:kern w:val="0"/>
          <w:sz w:val="32"/>
          <w:szCs w:val="32"/>
        </w:rPr>
        <w:t xml:space="preserve">  项目管理专业机构及其工作人员在验收工作过程中，出现偏袒特定项目承担单位、弄虚作假、违规干扰验收结果、索贿受贿等违法违规行为的，依法追究相应责任。</w:t>
      </w:r>
    </w:p>
    <w:p>
      <w:pPr>
        <w:keepNext w:val="0"/>
        <w:keepLines w:val="0"/>
        <w:pageBreakBefore w:val="0"/>
        <w:widowControl w:val="0"/>
        <w:kinsoku/>
        <w:wordWrap/>
        <w:overflowPunct/>
        <w:topLinePunct w:val="0"/>
        <w:autoSpaceDE/>
        <w:autoSpaceDN/>
        <w:bidi w:val="0"/>
        <w:spacing w:line="560" w:lineRule="exact"/>
        <w:ind w:firstLine="627" w:firstLineChars="200"/>
        <w:jc w:val="left"/>
        <w:textAlignment w:val="auto"/>
        <w:rPr>
          <w:rFonts w:ascii="仿宋_GB2312" w:hAnsi="仿宋" w:eastAsia="仿宋_GB2312" w:cs="仿宋_GB2312"/>
          <w:color w:val="040404"/>
          <w:spacing w:val="-4"/>
          <w:kern w:val="0"/>
          <w:sz w:val="32"/>
          <w:szCs w:val="32"/>
        </w:rPr>
      </w:pPr>
      <w:r>
        <w:rPr>
          <w:rStyle w:val="11"/>
          <w:rFonts w:hint="eastAsia" w:ascii="仿宋_GB2312" w:hAnsi="仿宋" w:eastAsia="仿宋_GB2312" w:cs="仿宋_GB2312"/>
          <w:bCs/>
          <w:color w:val="040404"/>
          <w:spacing w:val="-4"/>
          <w:kern w:val="0"/>
          <w:sz w:val="32"/>
          <w:szCs w:val="32"/>
        </w:rPr>
        <w:t>第二十</w:t>
      </w:r>
      <w:r>
        <w:rPr>
          <w:rFonts w:hint="eastAsia" w:ascii="仿宋_GB2312" w:hAnsi="仿宋" w:eastAsia="仿宋_GB2312" w:cs="仿宋_GB2312"/>
          <w:b/>
          <w:bCs/>
          <w:spacing w:val="-4"/>
          <w:kern w:val="0"/>
          <w:sz w:val="32"/>
          <w:szCs w:val="32"/>
        </w:rPr>
        <w:t>二</w:t>
      </w:r>
      <w:r>
        <w:rPr>
          <w:rStyle w:val="11"/>
          <w:rFonts w:hint="eastAsia" w:ascii="仿宋_GB2312" w:hAnsi="仿宋" w:eastAsia="仿宋_GB2312" w:cs="仿宋_GB2312"/>
          <w:bCs/>
          <w:color w:val="040404"/>
          <w:spacing w:val="-4"/>
          <w:kern w:val="0"/>
          <w:sz w:val="32"/>
          <w:szCs w:val="32"/>
        </w:rPr>
        <w:t>条</w:t>
      </w:r>
      <w:r>
        <w:rPr>
          <w:rFonts w:hint="eastAsia" w:ascii="仿宋_GB2312" w:hAnsi="仿宋" w:eastAsia="仿宋_GB2312" w:cs="仿宋_GB2312"/>
          <w:color w:val="040404"/>
          <w:spacing w:val="-4"/>
          <w:kern w:val="0"/>
          <w:sz w:val="32"/>
          <w:szCs w:val="32"/>
        </w:rPr>
        <w:t> 主管部门及其工作人员违反法律、法规以及市科技计划验收管理相关规定的，依法追究相应责任。</w:t>
      </w:r>
    </w:p>
    <w:p>
      <w:pPr>
        <w:keepNext w:val="0"/>
        <w:keepLines w:val="0"/>
        <w:pageBreakBefore w:val="0"/>
        <w:widowControl w:val="0"/>
        <w:kinsoku/>
        <w:wordWrap/>
        <w:overflowPunct/>
        <w:topLinePunct w:val="0"/>
        <w:autoSpaceDE/>
        <w:autoSpaceDN/>
        <w:bidi w:val="0"/>
        <w:spacing w:line="560" w:lineRule="exact"/>
        <w:ind w:firstLine="627" w:firstLineChars="200"/>
        <w:jc w:val="left"/>
        <w:textAlignment w:val="auto"/>
        <w:rPr>
          <w:rFonts w:ascii="仿宋_GB2312" w:hAnsi="仿宋" w:eastAsia="仿宋_GB2312" w:cs="仿宋_GB2312"/>
          <w:color w:val="040404"/>
          <w:spacing w:val="-4"/>
          <w:kern w:val="0"/>
          <w:sz w:val="32"/>
          <w:szCs w:val="32"/>
        </w:rPr>
      </w:pPr>
      <w:r>
        <w:rPr>
          <w:rFonts w:hint="eastAsia" w:ascii="仿宋_GB2312" w:hAnsi="仿宋" w:eastAsia="仿宋_GB2312" w:cs="仿宋_GB2312"/>
          <w:b/>
          <w:bCs/>
          <w:spacing w:val="-4"/>
          <w:kern w:val="0"/>
          <w:sz w:val="32"/>
          <w:szCs w:val="32"/>
        </w:rPr>
        <w:t>第二十三条</w:t>
      </w:r>
      <w:r>
        <w:rPr>
          <w:rFonts w:hint="eastAsia" w:ascii="仿宋_GB2312" w:hAnsi="仿宋" w:eastAsia="仿宋_GB2312" w:cs="仿宋_GB2312"/>
          <w:b/>
          <w:bCs/>
          <w:kern w:val="0"/>
          <w:sz w:val="32"/>
          <w:szCs w:val="32"/>
        </w:rPr>
        <w:t xml:space="preserve">  </w:t>
      </w:r>
      <w:r>
        <w:rPr>
          <w:rFonts w:hint="eastAsia" w:ascii="仿宋_GB2312" w:hAnsi="仿宋" w:eastAsia="仿宋_GB2312" w:cs="仿宋_GB2312"/>
          <w:color w:val="040404"/>
          <w:spacing w:val="-4"/>
          <w:kern w:val="0"/>
          <w:sz w:val="32"/>
          <w:szCs w:val="32"/>
        </w:rPr>
        <w:t>验收相关人员对所获取的项目相关信息负有保密责任，擅自拍照、录像、复制、披露、使用或者向他人提供项目成果的，终止或者取消其参与科技计划项目各项任务和工作的资格。给国家、有关单位和个人造成损失的，将依法追究相应责任。涉及泄露国家秘密的，按有关法律法规处理。</w:t>
      </w:r>
    </w:p>
    <w:p>
      <w:pPr>
        <w:keepNext w:val="0"/>
        <w:keepLines w:val="0"/>
        <w:pageBreakBefore w:val="0"/>
        <w:widowControl w:val="0"/>
        <w:kinsoku/>
        <w:wordWrap/>
        <w:overflowPunct/>
        <w:topLinePunct w:val="0"/>
        <w:autoSpaceDE/>
        <w:autoSpaceDN/>
        <w:bidi w:val="0"/>
        <w:spacing w:line="560" w:lineRule="exact"/>
        <w:ind w:firstLine="640" w:firstLineChars="200"/>
        <w:jc w:val="left"/>
        <w:textAlignment w:val="auto"/>
        <w:rPr>
          <w:rFonts w:ascii="仿宋_GB2312" w:hAnsi="??" w:eastAsia="仿宋_GB2312" w:cs="仿宋_GB2312"/>
          <w:sz w:val="32"/>
          <w:szCs w:val="32"/>
        </w:rPr>
      </w:pPr>
    </w:p>
    <w:p>
      <w:pPr>
        <w:keepNext w:val="0"/>
        <w:keepLines w:val="0"/>
        <w:pageBreakBefore w:val="0"/>
        <w:widowControl w:val="0"/>
        <w:kinsoku/>
        <w:wordWrap/>
        <w:overflowPunct/>
        <w:topLinePunct w:val="0"/>
        <w:autoSpaceDE/>
        <w:autoSpaceDN/>
        <w:bidi w:val="0"/>
        <w:spacing w:line="560" w:lineRule="exact"/>
        <w:jc w:val="center"/>
        <w:textAlignment w:val="auto"/>
        <w:rPr>
          <w:rFonts w:ascii="黑体" w:hAnsi="仿宋" w:eastAsia="黑体" w:cs="Times New Roman"/>
          <w:kern w:val="0"/>
          <w:sz w:val="32"/>
          <w:szCs w:val="32"/>
        </w:rPr>
      </w:pPr>
      <w:r>
        <w:rPr>
          <w:rFonts w:hint="eastAsia" w:ascii="黑体" w:hAnsi="仿宋" w:eastAsia="黑体" w:cs="黑体"/>
          <w:kern w:val="0"/>
          <w:sz w:val="32"/>
          <w:szCs w:val="32"/>
        </w:rPr>
        <w:t>第六章   附</w:t>
      </w:r>
      <w:r>
        <w:rPr>
          <w:rFonts w:ascii="黑体" w:hAnsi="仿宋" w:eastAsia="黑体" w:cs="黑体"/>
          <w:kern w:val="0"/>
          <w:sz w:val="32"/>
          <w:szCs w:val="32"/>
        </w:rPr>
        <w:t xml:space="preserve"> </w:t>
      </w:r>
      <w:r>
        <w:rPr>
          <w:rFonts w:hint="eastAsia" w:ascii="黑体" w:hAnsi="仿宋" w:eastAsia="黑体" w:cs="黑体"/>
          <w:kern w:val="0"/>
          <w:sz w:val="32"/>
          <w:szCs w:val="32"/>
        </w:rPr>
        <w:t>则</w:t>
      </w:r>
    </w:p>
    <w:p>
      <w:pPr>
        <w:pStyle w:val="7"/>
        <w:keepNext w:val="0"/>
        <w:keepLines w:val="0"/>
        <w:pageBreakBefore w:val="0"/>
        <w:widowControl w:val="0"/>
        <w:kinsoku/>
        <w:wordWrap/>
        <w:overflowPunct/>
        <w:topLinePunct w:val="0"/>
        <w:autoSpaceDE/>
        <w:autoSpaceDN/>
        <w:bidi w:val="0"/>
        <w:ind w:firstLine="627" w:firstLineChars="200"/>
        <w:textAlignment w:val="auto"/>
        <w:rPr>
          <w:rFonts w:hAnsi="仿宋"/>
          <w:color w:val="040404"/>
          <w:sz w:val="32"/>
          <w:szCs w:val="32"/>
        </w:rPr>
      </w:pPr>
      <w:r>
        <w:rPr>
          <w:rFonts w:hint="eastAsia" w:hAnsi="仿宋"/>
          <w:b/>
          <w:bCs/>
          <w:sz w:val="32"/>
          <w:szCs w:val="32"/>
        </w:rPr>
        <w:t>第二十四条</w:t>
      </w:r>
      <w:r>
        <w:rPr>
          <w:rFonts w:hAnsi="仿宋"/>
          <w:sz w:val="32"/>
          <w:szCs w:val="32"/>
        </w:rPr>
        <w:t xml:space="preserve"> </w:t>
      </w:r>
      <w:r>
        <w:rPr>
          <w:rFonts w:hint="eastAsia" w:hAnsi="仿宋"/>
          <w:sz w:val="32"/>
          <w:szCs w:val="32"/>
        </w:rPr>
        <w:t xml:space="preserve"> </w:t>
      </w:r>
      <w:r>
        <w:rPr>
          <w:rFonts w:hint="eastAsia" w:hAnsi="仿宋"/>
          <w:color w:val="040404"/>
          <w:sz w:val="32"/>
          <w:szCs w:val="32"/>
        </w:rPr>
        <w:t>本办法</w:t>
      </w:r>
      <w:r>
        <w:rPr>
          <w:rFonts w:hint="eastAsia" w:hAnsi="仿宋"/>
          <w:color w:val="040404"/>
          <w:sz w:val="32"/>
          <w:szCs w:val="32"/>
          <w:lang w:eastAsia="zh-CN"/>
        </w:rPr>
        <w:t>自</w:t>
      </w:r>
      <w:r>
        <w:rPr>
          <w:rFonts w:hint="eastAsia" w:hAnsi="仿宋"/>
          <w:color w:val="040404"/>
          <w:sz w:val="32"/>
          <w:szCs w:val="32"/>
        </w:rPr>
        <w:t>2025年9月10日起施行，有效期5年。</w:t>
      </w:r>
      <w:r>
        <w:rPr>
          <w:rFonts w:hAnsi="仿宋"/>
          <w:color w:val="040404"/>
          <w:sz w:val="32"/>
          <w:szCs w:val="32"/>
        </w:rPr>
        <w:t>本办法由</w:t>
      </w:r>
      <w:r>
        <w:rPr>
          <w:rFonts w:hint="eastAsia" w:hAnsi="仿宋"/>
          <w:color w:val="040404"/>
          <w:sz w:val="32"/>
          <w:szCs w:val="32"/>
        </w:rPr>
        <w:t>青岛市</w:t>
      </w:r>
      <w:r>
        <w:rPr>
          <w:rFonts w:hAnsi="仿宋"/>
          <w:color w:val="040404"/>
          <w:sz w:val="32"/>
          <w:szCs w:val="32"/>
        </w:rPr>
        <w:t>科技</w:t>
      </w:r>
      <w:r>
        <w:rPr>
          <w:rFonts w:hint="eastAsia" w:hAnsi="仿宋"/>
          <w:color w:val="040404"/>
          <w:sz w:val="32"/>
          <w:szCs w:val="32"/>
        </w:rPr>
        <w:t>局</w:t>
      </w:r>
      <w:r>
        <w:rPr>
          <w:rFonts w:hAnsi="仿宋"/>
          <w:color w:val="040404"/>
          <w:sz w:val="32"/>
          <w:szCs w:val="32"/>
        </w:rPr>
        <w:t>负责解释。</w:t>
      </w: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Style w:val="7"/>
        <w:keepNext w:val="0"/>
        <w:keepLines w:val="0"/>
        <w:pageBreakBefore w:val="0"/>
        <w:widowControl w:val="0"/>
        <w:kinsoku/>
        <w:wordWrap/>
        <w:overflowPunct/>
        <w:topLinePunct w:val="0"/>
        <w:autoSpaceDE/>
        <w:autoSpaceDN/>
        <w:bidi w:val="0"/>
        <w:ind w:firstLine="624" w:firstLineChars="200"/>
        <w:textAlignment w:val="auto"/>
        <w:rPr>
          <w:rFonts w:hAnsi="仿宋"/>
          <w:color w:val="040404"/>
          <w:sz w:val="32"/>
          <w:szCs w:val="32"/>
        </w:rPr>
      </w:pPr>
    </w:p>
    <w:p>
      <w:pPr>
        <w:pBdr>
          <w:top w:val="single" w:color="auto" w:sz="12" w:space="0"/>
          <w:bottom w:val="single" w:color="auto" w:sz="12" w:space="0"/>
        </w:pBdr>
        <w:spacing w:line="580" w:lineRule="exact"/>
        <w:ind w:firstLine="320" w:firstLineChars="100"/>
        <w:rPr>
          <w:rFonts w:hAnsi="仿宋"/>
          <w:color w:val="040404"/>
          <w:sz w:val="32"/>
          <w:szCs w:val="32"/>
        </w:rPr>
      </w:pPr>
      <w:r>
        <w:rPr>
          <w:rFonts w:hint="eastAsia" w:ascii="仿宋_GB2312" w:eastAsia="仿宋_GB2312"/>
          <w:sz w:val="32"/>
          <w:szCs w:val="32"/>
        </w:rPr>
        <w:t>青岛市科学技术局办公室　</w:t>
      </w:r>
      <w:r>
        <w:rPr>
          <w:rFonts w:ascii="仿宋_GB2312" w:eastAsia="仿宋_GB2312"/>
          <w:sz w:val="32"/>
          <w:szCs w:val="32"/>
        </w:rPr>
        <w:t xml:space="preserve">      </w:t>
      </w:r>
      <w:r>
        <w:rPr>
          <w:rFonts w:hint="eastAsia" w:ascii="仿宋_GB2312" w:eastAsia="仿宋_GB2312"/>
          <w:sz w:val="32"/>
          <w:szCs w:val="32"/>
        </w:rPr>
        <w:t xml:space="preserve"> </w:t>
      </w:r>
      <w:r>
        <w:rPr>
          <w:rFonts w:ascii="仿宋_GB2312" w:eastAsia="仿宋_GB2312"/>
          <w:sz w:val="32"/>
          <w:szCs w:val="32"/>
        </w:rPr>
        <w:t xml:space="preserve"> </w:t>
      </w:r>
      <w:r>
        <w:rPr>
          <w:rFonts w:hint="eastAsia" w:ascii="仿宋_GB2312" w:eastAsia="仿宋_GB2312"/>
          <w:sz w:val="32"/>
          <w:szCs w:val="32"/>
          <w:lang w:val="en-US" w:eastAsia="zh-CN"/>
        </w:rPr>
        <w:t xml:space="preserve">  </w:t>
      </w:r>
      <w:r>
        <w:rPr>
          <w:rFonts w:ascii="仿宋_GB2312" w:eastAsia="仿宋_GB2312"/>
          <w:sz w:val="32"/>
          <w:szCs w:val="32"/>
        </w:rPr>
        <w:t>202</w:t>
      </w:r>
      <w:r>
        <w:rPr>
          <w:rFonts w:hint="eastAsia" w:ascii="仿宋_GB2312" w:eastAsia="仿宋_GB2312"/>
          <w:sz w:val="32"/>
          <w:szCs w:val="32"/>
        </w:rPr>
        <w:t>5年</w:t>
      </w:r>
      <w:r>
        <w:rPr>
          <w:rFonts w:hint="eastAsia" w:ascii="仿宋_GB2312" w:eastAsia="仿宋_GB2312"/>
          <w:sz w:val="32"/>
          <w:szCs w:val="32"/>
          <w:lang w:val="en-US" w:eastAsia="zh-CN"/>
        </w:rPr>
        <w:t>9</w:t>
      </w:r>
      <w:r>
        <w:rPr>
          <w:rFonts w:hint="eastAsia" w:ascii="仿宋_GB2312" w:eastAsia="仿宋_GB2312"/>
          <w:sz w:val="32"/>
          <w:szCs w:val="32"/>
        </w:rPr>
        <w:t>月</w:t>
      </w:r>
      <w:r>
        <w:rPr>
          <w:rFonts w:hint="eastAsia" w:ascii="仿宋_GB2312" w:eastAsia="仿宋_GB2312"/>
          <w:sz w:val="32"/>
          <w:szCs w:val="32"/>
          <w:lang w:val="en-US" w:eastAsia="zh-CN"/>
        </w:rPr>
        <w:t>4</w:t>
      </w:r>
      <w:r>
        <w:rPr>
          <w:rFonts w:hint="eastAsia" w:ascii="仿宋_GB2312" w:eastAsia="仿宋_GB2312"/>
          <w:sz w:val="32"/>
          <w:szCs w:val="32"/>
        </w:rPr>
        <w:t>日印发</w:t>
      </w:r>
    </w:p>
    <w:sectPr>
      <w:headerReference r:id="rId11" w:type="first"/>
      <w:footerReference r:id="rId14" w:type="first"/>
      <w:headerReference r:id="rId9" w:type="default"/>
      <w:footerReference r:id="rId12" w:type="default"/>
      <w:headerReference r:id="rId10" w:type="even"/>
      <w:footerReference r:id="rId13" w:type="even"/>
      <w:pgSz w:w="11906" w:h="16838"/>
      <w:pgMar w:top="2098" w:right="1474" w:bottom="1985"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文星标宋">
    <w:panose1 w:val="02010604000101010101"/>
    <w:charset w:val="86"/>
    <w:family w:val="auto"/>
    <w:pitch w:val="default"/>
    <w:sig w:usb0="00000001" w:usb1="080E0000" w:usb2="00000000" w:usb3="00000000" w:csb0="00040001" w:csb1="00000000"/>
  </w:font>
  <w:font w:name="serif">
    <w:altName w:val="Arial Unicode MS"/>
    <w:panose1 w:val="00000000000000000000"/>
    <w:charset w:val="00"/>
    <w:family w:val="auto"/>
    <w:pitch w:val="default"/>
    <w:sig w:usb0="00000000" w:usb1="00000000" w:usb2="00000000" w:usb3="00000000" w:csb0="00040001" w:csb1="00000000"/>
  </w:font>
  <w:font w:name="??">
    <w:altName w:val="Segoe Print"/>
    <w:panose1 w:val="00000000000000000000"/>
    <w:charset w:val="00"/>
    <w:family w:val="roman"/>
    <w:pitch w:val="default"/>
    <w:sig w:usb0="00000000" w:usb1="00000000" w:usb2="00000000" w:usb3="00000000" w:csb0="00000001"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uto" w:vAnchor="text" w:hAnchor="margin" w:xAlign="outside" w:y="1"/>
      <w:rPr>
        <w:rStyle w:val="12"/>
        <w:rFonts w:ascii="楷体_GB2312" w:eastAsia="楷体_GB2312"/>
        <w:sz w:val="28"/>
        <w:szCs w:val="28"/>
      </w:rPr>
    </w:pPr>
    <w:r>
      <w:rPr>
        <w:rStyle w:val="12"/>
        <w:rFonts w:ascii="楷体_GB2312" w:hAnsi="宋体" w:eastAsia="楷体_GB2312" w:cs="宋体"/>
        <w:sz w:val="28"/>
        <w:szCs w:val="28"/>
      </w:rPr>
      <w:fldChar w:fldCharType="begin"/>
    </w:r>
    <w:r>
      <w:rPr>
        <w:rStyle w:val="12"/>
        <w:rFonts w:ascii="楷体_GB2312" w:hAnsi="宋体" w:eastAsia="楷体_GB2312" w:cs="宋体"/>
        <w:sz w:val="28"/>
        <w:szCs w:val="28"/>
      </w:rPr>
      <w:instrText xml:space="preserve">PAGE  </w:instrText>
    </w:r>
    <w:r>
      <w:rPr>
        <w:rStyle w:val="12"/>
        <w:rFonts w:ascii="楷体_GB2312" w:hAnsi="宋体" w:eastAsia="楷体_GB2312" w:cs="宋体"/>
        <w:sz w:val="28"/>
        <w:szCs w:val="28"/>
      </w:rPr>
      <w:fldChar w:fldCharType="separate"/>
    </w:r>
    <w:r>
      <w:rPr>
        <w:rStyle w:val="12"/>
        <w:rFonts w:ascii="楷体_GB2312" w:hAnsi="宋体" w:eastAsia="楷体_GB2312" w:cs="宋体"/>
        <w:sz w:val="28"/>
        <w:szCs w:val="28"/>
      </w:rPr>
      <w:t>- 1 -</w:t>
    </w:r>
    <w:r>
      <w:rPr>
        <w:rStyle w:val="12"/>
        <w:rFonts w:ascii="楷体_GB2312" w:hAnsi="宋体" w:eastAsia="楷体_GB2312" w:cs="宋体"/>
        <w:sz w:val="28"/>
        <w:szCs w:val="28"/>
      </w:rPr>
      <w:fldChar w:fldCharType="end"/>
    </w:r>
  </w:p>
  <w:p>
    <w:pPr>
      <w:pStyle w:val="5"/>
      <w:ind w:right="360" w:firstLine="360"/>
      <w:rPr>
        <w:rFonts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uto" w:vAnchor="text" w:hAnchor="margin" w:xAlign="outside" w:y="1"/>
      <w:rPr>
        <w:rStyle w:val="12"/>
        <w:rFonts w:ascii="楷体_GB2312" w:eastAsia="楷体_GB2312"/>
        <w:sz w:val="28"/>
        <w:szCs w:val="28"/>
      </w:rPr>
    </w:pPr>
    <w:r>
      <w:rPr>
        <w:rStyle w:val="12"/>
        <w:rFonts w:ascii="楷体_GB2312" w:hAnsi="宋体" w:eastAsia="楷体_GB2312" w:cs="宋体"/>
        <w:sz w:val="28"/>
        <w:szCs w:val="28"/>
      </w:rPr>
      <w:fldChar w:fldCharType="begin"/>
    </w:r>
    <w:r>
      <w:rPr>
        <w:rStyle w:val="12"/>
        <w:rFonts w:ascii="楷体_GB2312" w:hAnsi="宋体" w:eastAsia="楷体_GB2312" w:cs="宋体"/>
        <w:sz w:val="28"/>
        <w:szCs w:val="28"/>
      </w:rPr>
      <w:instrText xml:space="preserve">PAGE  </w:instrText>
    </w:r>
    <w:r>
      <w:rPr>
        <w:rStyle w:val="12"/>
        <w:rFonts w:ascii="楷体_GB2312" w:hAnsi="宋体" w:eastAsia="楷体_GB2312" w:cs="宋体"/>
        <w:sz w:val="28"/>
        <w:szCs w:val="28"/>
      </w:rPr>
      <w:fldChar w:fldCharType="separate"/>
    </w:r>
    <w:r>
      <w:rPr>
        <w:rStyle w:val="12"/>
        <w:rFonts w:ascii="楷体_GB2312" w:hAnsi="宋体" w:eastAsia="楷体_GB2312" w:cs="宋体"/>
        <w:sz w:val="28"/>
        <w:szCs w:val="28"/>
      </w:rPr>
      <w:t>- 11 -</w:t>
    </w:r>
    <w:r>
      <w:rPr>
        <w:rStyle w:val="12"/>
        <w:rFonts w:ascii="楷体_GB2312" w:hAnsi="宋体" w:eastAsia="楷体_GB2312" w:cs="宋体"/>
        <w:sz w:val="28"/>
        <w:szCs w:val="28"/>
      </w:rPr>
      <w:fldChar w:fldCharType="end"/>
    </w:r>
  </w:p>
  <w:p>
    <w:pPr>
      <w:pStyle w:val="5"/>
      <w:ind w:right="360" w:firstLine="360"/>
      <w:rPr>
        <w:rFonts w:cs="Times New Roma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rPr>
        <w:rFonts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rPr>
        <w:rFonts w:cs="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8277F6"/>
    <w:multiLevelType w:val="multilevel"/>
    <w:tmpl w:val="398277F6"/>
    <w:lvl w:ilvl="0" w:tentative="0">
      <w:start w:val="5"/>
      <w:numFmt w:val="japaneseCounting"/>
      <w:lvlText w:val="第%1章"/>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FA8515A"/>
    <w:multiLevelType w:val="multilevel"/>
    <w:tmpl w:val="6FA8515A"/>
    <w:lvl w:ilvl="0" w:tentative="0">
      <w:start w:val="2"/>
      <w:numFmt w:val="japaneseCounting"/>
      <w:lvlText w:val="第%1章"/>
      <w:lvlJc w:val="left"/>
      <w:pPr>
        <w:ind w:left="1080" w:hanging="10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seAltKinsokuLineBreakRules/>
    <w:underlineTabInNumList/>
    <w:compatSetting w:name="compatibilityMode" w:uri="http://schemas.microsoft.com/office/word" w:val="12"/>
  </w:compat>
  <w:docVars>
    <w:docVar w:name="commondata" w:val="eyJoZGlkIjoiNjc0MzVhMTE1NjlmNTQwYjA2ZTdmMDY2NjYwMTY1MTgifQ=="/>
  </w:docVars>
  <w:rsids>
    <w:rsidRoot w:val="00437B7E"/>
    <w:rsid w:val="00003CFA"/>
    <w:rsid w:val="00011758"/>
    <w:rsid w:val="000160CC"/>
    <w:rsid w:val="00017045"/>
    <w:rsid w:val="00024C90"/>
    <w:rsid w:val="00035F2F"/>
    <w:rsid w:val="00040A01"/>
    <w:rsid w:val="00041745"/>
    <w:rsid w:val="00041ED1"/>
    <w:rsid w:val="00044579"/>
    <w:rsid w:val="00050CAB"/>
    <w:rsid w:val="000547A7"/>
    <w:rsid w:val="00075354"/>
    <w:rsid w:val="00076BA4"/>
    <w:rsid w:val="00083FCD"/>
    <w:rsid w:val="00085870"/>
    <w:rsid w:val="000877C1"/>
    <w:rsid w:val="00091F4D"/>
    <w:rsid w:val="00093B61"/>
    <w:rsid w:val="0009471F"/>
    <w:rsid w:val="00095A50"/>
    <w:rsid w:val="0009664B"/>
    <w:rsid w:val="000A0E6A"/>
    <w:rsid w:val="000A1281"/>
    <w:rsid w:val="000A452A"/>
    <w:rsid w:val="000A66C7"/>
    <w:rsid w:val="000B0C47"/>
    <w:rsid w:val="000B27B6"/>
    <w:rsid w:val="000B6676"/>
    <w:rsid w:val="000C0FCC"/>
    <w:rsid w:val="000D05C8"/>
    <w:rsid w:val="000D126A"/>
    <w:rsid w:val="000E17E6"/>
    <w:rsid w:val="000F27B7"/>
    <w:rsid w:val="000F46AC"/>
    <w:rsid w:val="000F5F97"/>
    <w:rsid w:val="00102684"/>
    <w:rsid w:val="001068B5"/>
    <w:rsid w:val="00106B69"/>
    <w:rsid w:val="00116857"/>
    <w:rsid w:val="00116D97"/>
    <w:rsid w:val="001235DD"/>
    <w:rsid w:val="0013516D"/>
    <w:rsid w:val="00140339"/>
    <w:rsid w:val="00145E0A"/>
    <w:rsid w:val="0015337C"/>
    <w:rsid w:val="00164033"/>
    <w:rsid w:val="00166D2F"/>
    <w:rsid w:val="00167C7E"/>
    <w:rsid w:val="00173291"/>
    <w:rsid w:val="0017414D"/>
    <w:rsid w:val="00186CFC"/>
    <w:rsid w:val="00193C5B"/>
    <w:rsid w:val="00196B67"/>
    <w:rsid w:val="00196D00"/>
    <w:rsid w:val="001A0168"/>
    <w:rsid w:val="001A2C14"/>
    <w:rsid w:val="001A4127"/>
    <w:rsid w:val="001A781B"/>
    <w:rsid w:val="001A7B95"/>
    <w:rsid w:val="001B7DFD"/>
    <w:rsid w:val="001C0729"/>
    <w:rsid w:val="001C0AEC"/>
    <w:rsid w:val="001C0D59"/>
    <w:rsid w:val="001C2C8F"/>
    <w:rsid w:val="001C448F"/>
    <w:rsid w:val="001D158B"/>
    <w:rsid w:val="001D3921"/>
    <w:rsid w:val="001D5BD1"/>
    <w:rsid w:val="001E3FB9"/>
    <w:rsid w:val="001F2F46"/>
    <w:rsid w:val="001F4809"/>
    <w:rsid w:val="001F6361"/>
    <w:rsid w:val="00200810"/>
    <w:rsid w:val="00205F75"/>
    <w:rsid w:val="002077FE"/>
    <w:rsid w:val="0021306E"/>
    <w:rsid w:val="002217ED"/>
    <w:rsid w:val="002248AA"/>
    <w:rsid w:val="0022504E"/>
    <w:rsid w:val="00235234"/>
    <w:rsid w:val="00235385"/>
    <w:rsid w:val="00236E54"/>
    <w:rsid w:val="00245556"/>
    <w:rsid w:val="002540BA"/>
    <w:rsid w:val="0025453D"/>
    <w:rsid w:val="0026016F"/>
    <w:rsid w:val="002654D4"/>
    <w:rsid w:val="00274E6E"/>
    <w:rsid w:val="0028000C"/>
    <w:rsid w:val="00285AB5"/>
    <w:rsid w:val="00294A8F"/>
    <w:rsid w:val="00295EF9"/>
    <w:rsid w:val="002A6901"/>
    <w:rsid w:val="002B1A71"/>
    <w:rsid w:val="002B445B"/>
    <w:rsid w:val="002B5B16"/>
    <w:rsid w:val="002C47CF"/>
    <w:rsid w:val="002D4C24"/>
    <w:rsid w:val="002D7909"/>
    <w:rsid w:val="002E28B1"/>
    <w:rsid w:val="002E2EC3"/>
    <w:rsid w:val="002E3A8D"/>
    <w:rsid w:val="002F1548"/>
    <w:rsid w:val="002F2A7E"/>
    <w:rsid w:val="002F31D1"/>
    <w:rsid w:val="002F3657"/>
    <w:rsid w:val="002F41C0"/>
    <w:rsid w:val="002F4B7F"/>
    <w:rsid w:val="002F6472"/>
    <w:rsid w:val="003035E8"/>
    <w:rsid w:val="00303B76"/>
    <w:rsid w:val="00304FE5"/>
    <w:rsid w:val="0030563A"/>
    <w:rsid w:val="00306DEB"/>
    <w:rsid w:val="00307159"/>
    <w:rsid w:val="003116E4"/>
    <w:rsid w:val="00314A6D"/>
    <w:rsid w:val="003240B1"/>
    <w:rsid w:val="003250EE"/>
    <w:rsid w:val="003262F1"/>
    <w:rsid w:val="00327652"/>
    <w:rsid w:val="00342D0A"/>
    <w:rsid w:val="00346CB4"/>
    <w:rsid w:val="00352561"/>
    <w:rsid w:val="00371C9E"/>
    <w:rsid w:val="003772B2"/>
    <w:rsid w:val="00383894"/>
    <w:rsid w:val="00385C56"/>
    <w:rsid w:val="00386147"/>
    <w:rsid w:val="00395384"/>
    <w:rsid w:val="003A6365"/>
    <w:rsid w:val="003C7B28"/>
    <w:rsid w:val="003D5539"/>
    <w:rsid w:val="003E4FBD"/>
    <w:rsid w:val="003E70DB"/>
    <w:rsid w:val="003F16CA"/>
    <w:rsid w:val="003F6B39"/>
    <w:rsid w:val="003F777B"/>
    <w:rsid w:val="00411508"/>
    <w:rsid w:val="0041191A"/>
    <w:rsid w:val="00414B3C"/>
    <w:rsid w:val="004179D1"/>
    <w:rsid w:val="00424569"/>
    <w:rsid w:val="0043099E"/>
    <w:rsid w:val="00437B7E"/>
    <w:rsid w:val="00437BC6"/>
    <w:rsid w:val="00445418"/>
    <w:rsid w:val="004458E2"/>
    <w:rsid w:val="00453F70"/>
    <w:rsid w:val="004560BF"/>
    <w:rsid w:val="00456BCA"/>
    <w:rsid w:val="00460F87"/>
    <w:rsid w:val="00461878"/>
    <w:rsid w:val="00464744"/>
    <w:rsid w:val="004661EA"/>
    <w:rsid w:val="00467267"/>
    <w:rsid w:val="00467795"/>
    <w:rsid w:val="00470CFE"/>
    <w:rsid w:val="00474660"/>
    <w:rsid w:val="004769AE"/>
    <w:rsid w:val="00476F49"/>
    <w:rsid w:val="004910F3"/>
    <w:rsid w:val="004926BF"/>
    <w:rsid w:val="00493C60"/>
    <w:rsid w:val="004A5DFD"/>
    <w:rsid w:val="004A6E06"/>
    <w:rsid w:val="004B0A0A"/>
    <w:rsid w:val="004B7DA7"/>
    <w:rsid w:val="004C0033"/>
    <w:rsid w:val="004C114B"/>
    <w:rsid w:val="004C3EE7"/>
    <w:rsid w:val="004C454C"/>
    <w:rsid w:val="004C5D89"/>
    <w:rsid w:val="004C706F"/>
    <w:rsid w:val="004C7600"/>
    <w:rsid w:val="004C7698"/>
    <w:rsid w:val="004D0C5A"/>
    <w:rsid w:val="004D2EC1"/>
    <w:rsid w:val="004D4879"/>
    <w:rsid w:val="004D612A"/>
    <w:rsid w:val="004D73DB"/>
    <w:rsid w:val="004E5F91"/>
    <w:rsid w:val="00512AC1"/>
    <w:rsid w:val="00512D19"/>
    <w:rsid w:val="00512E9C"/>
    <w:rsid w:val="00517689"/>
    <w:rsid w:val="0052469D"/>
    <w:rsid w:val="00524EAC"/>
    <w:rsid w:val="005253FB"/>
    <w:rsid w:val="005264AE"/>
    <w:rsid w:val="00534811"/>
    <w:rsid w:val="00535C8D"/>
    <w:rsid w:val="005410D8"/>
    <w:rsid w:val="005461E3"/>
    <w:rsid w:val="00553083"/>
    <w:rsid w:val="00560052"/>
    <w:rsid w:val="005603C0"/>
    <w:rsid w:val="00564C0E"/>
    <w:rsid w:val="00583A21"/>
    <w:rsid w:val="00586F9D"/>
    <w:rsid w:val="0058775F"/>
    <w:rsid w:val="00591A3E"/>
    <w:rsid w:val="00595F48"/>
    <w:rsid w:val="005A763F"/>
    <w:rsid w:val="005B1B75"/>
    <w:rsid w:val="005B6EB2"/>
    <w:rsid w:val="005B7F89"/>
    <w:rsid w:val="005C5AAD"/>
    <w:rsid w:val="005D1AF3"/>
    <w:rsid w:val="005D6C30"/>
    <w:rsid w:val="005E1BA0"/>
    <w:rsid w:val="005E347D"/>
    <w:rsid w:val="005E415A"/>
    <w:rsid w:val="005F554A"/>
    <w:rsid w:val="0060487B"/>
    <w:rsid w:val="00606B2E"/>
    <w:rsid w:val="00613B5E"/>
    <w:rsid w:val="00620768"/>
    <w:rsid w:val="00621C32"/>
    <w:rsid w:val="00624B86"/>
    <w:rsid w:val="00625A5E"/>
    <w:rsid w:val="00626CA9"/>
    <w:rsid w:val="00634664"/>
    <w:rsid w:val="006366E0"/>
    <w:rsid w:val="0065549A"/>
    <w:rsid w:val="00655DC0"/>
    <w:rsid w:val="006665AC"/>
    <w:rsid w:val="00667512"/>
    <w:rsid w:val="00670E42"/>
    <w:rsid w:val="006719CE"/>
    <w:rsid w:val="006776BA"/>
    <w:rsid w:val="00677E64"/>
    <w:rsid w:val="00683AD0"/>
    <w:rsid w:val="00694FB7"/>
    <w:rsid w:val="006968C1"/>
    <w:rsid w:val="006A0CC8"/>
    <w:rsid w:val="006A1013"/>
    <w:rsid w:val="006A482D"/>
    <w:rsid w:val="006A508B"/>
    <w:rsid w:val="006A7601"/>
    <w:rsid w:val="006B43CC"/>
    <w:rsid w:val="006B5114"/>
    <w:rsid w:val="006B61DB"/>
    <w:rsid w:val="006C0811"/>
    <w:rsid w:val="006C0F73"/>
    <w:rsid w:val="006C356B"/>
    <w:rsid w:val="006C55FE"/>
    <w:rsid w:val="006C5E96"/>
    <w:rsid w:val="006C665E"/>
    <w:rsid w:val="006C6DE1"/>
    <w:rsid w:val="006D0BCC"/>
    <w:rsid w:val="006D53BA"/>
    <w:rsid w:val="006E2428"/>
    <w:rsid w:val="006F012B"/>
    <w:rsid w:val="006F067C"/>
    <w:rsid w:val="006F3F5F"/>
    <w:rsid w:val="006F57C0"/>
    <w:rsid w:val="00703BA5"/>
    <w:rsid w:val="007060CF"/>
    <w:rsid w:val="00706156"/>
    <w:rsid w:val="00710BCC"/>
    <w:rsid w:val="0071273D"/>
    <w:rsid w:val="00713B87"/>
    <w:rsid w:val="00713FEB"/>
    <w:rsid w:val="007175D2"/>
    <w:rsid w:val="007335A4"/>
    <w:rsid w:val="0073496F"/>
    <w:rsid w:val="0074084B"/>
    <w:rsid w:val="00740C2F"/>
    <w:rsid w:val="00741CAA"/>
    <w:rsid w:val="00742C54"/>
    <w:rsid w:val="00750FC4"/>
    <w:rsid w:val="00751906"/>
    <w:rsid w:val="00751C18"/>
    <w:rsid w:val="00751E29"/>
    <w:rsid w:val="00763520"/>
    <w:rsid w:val="00763716"/>
    <w:rsid w:val="0076741D"/>
    <w:rsid w:val="00770325"/>
    <w:rsid w:val="0077040E"/>
    <w:rsid w:val="00774494"/>
    <w:rsid w:val="0077586C"/>
    <w:rsid w:val="00793374"/>
    <w:rsid w:val="007A2660"/>
    <w:rsid w:val="007A2DEB"/>
    <w:rsid w:val="007A304B"/>
    <w:rsid w:val="007A6535"/>
    <w:rsid w:val="007B001B"/>
    <w:rsid w:val="007B3F2B"/>
    <w:rsid w:val="007B402C"/>
    <w:rsid w:val="007C0C2E"/>
    <w:rsid w:val="007C272D"/>
    <w:rsid w:val="007C3732"/>
    <w:rsid w:val="007D1A55"/>
    <w:rsid w:val="007D62B2"/>
    <w:rsid w:val="007E125F"/>
    <w:rsid w:val="007E127A"/>
    <w:rsid w:val="007E27DF"/>
    <w:rsid w:val="007E2FB4"/>
    <w:rsid w:val="007E50E2"/>
    <w:rsid w:val="007F5EC9"/>
    <w:rsid w:val="00804097"/>
    <w:rsid w:val="00807224"/>
    <w:rsid w:val="00812981"/>
    <w:rsid w:val="0081488C"/>
    <w:rsid w:val="00827423"/>
    <w:rsid w:val="0083648C"/>
    <w:rsid w:val="00836B68"/>
    <w:rsid w:val="00837E22"/>
    <w:rsid w:val="00842AB9"/>
    <w:rsid w:val="00845D68"/>
    <w:rsid w:val="008522EF"/>
    <w:rsid w:val="00862167"/>
    <w:rsid w:val="00863AF5"/>
    <w:rsid w:val="00865093"/>
    <w:rsid w:val="00867302"/>
    <w:rsid w:val="008715C1"/>
    <w:rsid w:val="00872D1C"/>
    <w:rsid w:val="008818EB"/>
    <w:rsid w:val="00892565"/>
    <w:rsid w:val="008932D4"/>
    <w:rsid w:val="00897E06"/>
    <w:rsid w:val="008A3209"/>
    <w:rsid w:val="008A6AE8"/>
    <w:rsid w:val="008B507A"/>
    <w:rsid w:val="008C412E"/>
    <w:rsid w:val="008C78DD"/>
    <w:rsid w:val="008D1B96"/>
    <w:rsid w:val="008D531B"/>
    <w:rsid w:val="008E1ABE"/>
    <w:rsid w:val="008F00AA"/>
    <w:rsid w:val="008F1A0D"/>
    <w:rsid w:val="008F3CE2"/>
    <w:rsid w:val="008F7482"/>
    <w:rsid w:val="008F763B"/>
    <w:rsid w:val="009036EA"/>
    <w:rsid w:val="00905B1F"/>
    <w:rsid w:val="00906785"/>
    <w:rsid w:val="00915561"/>
    <w:rsid w:val="00917891"/>
    <w:rsid w:val="00921C75"/>
    <w:rsid w:val="0092374F"/>
    <w:rsid w:val="0093096F"/>
    <w:rsid w:val="009318EF"/>
    <w:rsid w:val="009408B5"/>
    <w:rsid w:val="0095128C"/>
    <w:rsid w:val="00953F79"/>
    <w:rsid w:val="00956F1E"/>
    <w:rsid w:val="009601D0"/>
    <w:rsid w:val="00964FDF"/>
    <w:rsid w:val="009672EE"/>
    <w:rsid w:val="00974A1E"/>
    <w:rsid w:val="009909D8"/>
    <w:rsid w:val="00996462"/>
    <w:rsid w:val="009A434D"/>
    <w:rsid w:val="009A7258"/>
    <w:rsid w:val="009B09ED"/>
    <w:rsid w:val="009B2563"/>
    <w:rsid w:val="009B3CDA"/>
    <w:rsid w:val="009B4BB8"/>
    <w:rsid w:val="009C3783"/>
    <w:rsid w:val="009C47F4"/>
    <w:rsid w:val="009D121B"/>
    <w:rsid w:val="009D19A1"/>
    <w:rsid w:val="009D3A8E"/>
    <w:rsid w:val="009D4CE6"/>
    <w:rsid w:val="009D699D"/>
    <w:rsid w:val="009E1F38"/>
    <w:rsid w:val="009E3819"/>
    <w:rsid w:val="009E7AF2"/>
    <w:rsid w:val="009F16A0"/>
    <w:rsid w:val="009F2EC9"/>
    <w:rsid w:val="009F2EDC"/>
    <w:rsid w:val="00A00FAA"/>
    <w:rsid w:val="00A02F45"/>
    <w:rsid w:val="00A04F36"/>
    <w:rsid w:val="00A05B58"/>
    <w:rsid w:val="00A16601"/>
    <w:rsid w:val="00A1704F"/>
    <w:rsid w:val="00A32BC0"/>
    <w:rsid w:val="00A34003"/>
    <w:rsid w:val="00A34270"/>
    <w:rsid w:val="00A4306D"/>
    <w:rsid w:val="00A45C9B"/>
    <w:rsid w:val="00A503EF"/>
    <w:rsid w:val="00A52E95"/>
    <w:rsid w:val="00A555F5"/>
    <w:rsid w:val="00A6162C"/>
    <w:rsid w:val="00A65C4D"/>
    <w:rsid w:val="00A663D4"/>
    <w:rsid w:val="00A667E4"/>
    <w:rsid w:val="00A71D07"/>
    <w:rsid w:val="00A7306E"/>
    <w:rsid w:val="00A76485"/>
    <w:rsid w:val="00A82466"/>
    <w:rsid w:val="00A831B2"/>
    <w:rsid w:val="00A84322"/>
    <w:rsid w:val="00A92417"/>
    <w:rsid w:val="00A9501A"/>
    <w:rsid w:val="00A97938"/>
    <w:rsid w:val="00AA05A0"/>
    <w:rsid w:val="00AA333D"/>
    <w:rsid w:val="00AA3F30"/>
    <w:rsid w:val="00AB380B"/>
    <w:rsid w:val="00AC1985"/>
    <w:rsid w:val="00AC1C6A"/>
    <w:rsid w:val="00AC3EB4"/>
    <w:rsid w:val="00AC6006"/>
    <w:rsid w:val="00AD404B"/>
    <w:rsid w:val="00AE2216"/>
    <w:rsid w:val="00AE3D32"/>
    <w:rsid w:val="00AF4B63"/>
    <w:rsid w:val="00AF54DF"/>
    <w:rsid w:val="00B008EC"/>
    <w:rsid w:val="00B06685"/>
    <w:rsid w:val="00B17F5C"/>
    <w:rsid w:val="00B3084E"/>
    <w:rsid w:val="00B408F7"/>
    <w:rsid w:val="00B41BF4"/>
    <w:rsid w:val="00B428F2"/>
    <w:rsid w:val="00B451E8"/>
    <w:rsid w:val="00B5330F"/>
    <w:rsid w:val="00B63F2E"/>
    <w:rsid w:val="00B653B1"/>
    <w:rsid w:val="00B67C82"/>
    <w:rsid w:val="00B713AA"/>
    <w:rsid w:val="00B71CF7"/>
    <w:rsid w:val="00B813D3"/>
    <w:rsid w:val="00B82D50"/>
    <w:rsid w:val="00B85AB7"/>
    <w:rsid w:val="00B979A3"/>
    <w:rsid w:val="00BA33FE"/>
    <w:rsid w:val="00BA7DF3"/>
    <w:rsid w:val="00BB48B1"/>
    <w:rsid w:val="00BC1DBC"/>
    <w:rsid w:val="00BD1DF2"/>
    <w:rsid w:val="00BD536D"/>
    <w:rsid w:val="00BE6451"/>
    <w:rsid w:val="00BF0F3E"/>
    <w:rsid w:val="00BF131A"/>
    <w:rsid w:val="00BF26D0"/>
    <w:rsid w:val="00BF437F"/>
    <w:rsid w:val="00BF56F2"/>
    <w:rsid w:val="00C06537"/>
    <w:rsid w:val="00C16582"/>
    <w:rsid w:val="00C22B42"/>
    <w:rsid w:val="00C23E71"/>
    <w:rsid w:val="00C27CBD"/>
    <w:rsid w:val="00C33DE8"/>
    <w:rsid w:val="00C33E0D"/>
    <w:rsid w:val="00C354DF"/>
    <w:rsid w:val="00C37677"/>
    <w:rsid w:val="00C43A8E"/>
    <w:rsid w:val="00C46C37"/>
    <w:rsid w:val="00C50926"/>
    <w:rsid w:val="00C537F9"/>
    <w:rsid w:val="00C5477B"/>
    <w:rsid w:val="00C5651E"/>
    <w:rsid w:val="00C57BA6"/>
    <w:rsid w:val="00C60D37"/>
    <w:rsid w:val="00C61613"/>
    <w:rsid w:val="00C61614"/>
    <w:rsid w:val="00C642FC"/>
    <w:rsid w:val="00C675FA"/>
    <w:rsid w:val="00C70A4F"/>
    <w:rsid w:val="00C71FEE"/>
    <w:rsid w:val="00C72A13"/>
    <w:rsid w:val="00C923E8"/>
    <w:rsid w:val="00CA204D"/>
    <w:rsid w:val="00CA287B"/>
    <w:rsid w:val="00CA7F37"/>
    <w:rsid w:val="00CB2E09"/>
    <w:rsid w:val="00CB3653"/>
    <w:rsid w:val="00CB5028"/>
    <w:rsid w:val="00CB510E"/>
    <w:rsid w:val="00CB59A9"/>
    <w:rsid w:val="00CC4C67"/>
    <w:rsid w:val="00CC7E26"/>
    <w:rsid w:val="00CD23FB"/>
    <w:rsid w:val="00CD58C7"/>
    <w:rsid w:val="00CD6EDD"/>
    <w:rsid w:val="00CD7708"/>
    <w:rsid w:val="00CE40D2"/>
    <w:rsid w:val="00CF0579"/>
    <w:rsid w:val="00CF3F50"/>
    <w:rsid w:val="00D00909"/>
    <w:rsid w:val="00D14378"/>
    <w:rsid w:val="00D14A09"/>
    <w:rsid w:val="00D210E5"/>
    <w:rsid w:val="00D242FE"/>
    <w:rsid w:val="00D33A0E"/>
    <w:rsid w:val="00D4123F"/>
    <w:rsid w:val="00D41902"/>
    <w:rsid w:val="00D440C1"/>
    <w:rsid w:val="00D64A3F"/>
    <w:rsid w:val="00D65AF6"/>
    <w:rsid w:val="00D65B77"/>
    <w:rsid w:val="00D818BC"/>
    <w:rsid w:val="00D82D65"/>
    <w:rsid w:val="00D87D66"/>
    <w:rsid w:val="00D91127"/>
    <w:rsid w:val="00D94CFF"/>
    <w:rsid w:val="00D96B5F"/>
    <w:rsid w:val="00D96D66"/>
    <w:rsid w:val="00DA072D"/>
    <w:rsid w:val="00DA2FDC"/>
    <w:rsid w:val="00DA5D63"/>
    <w:rsid w:val="00DB4FA6"/>
    <w:rsid w:val="00DB5050"/>
    <w:rsid w:val="00DB78CD"/>
    <w:rsid w:val="00DC540A"/>
    <w:rsid w:val="00DD76EE"/>
    <w:rsid w:val="00DE702A"/>
    <w:rsid w:val="00E056FD"/>
    <w:rsid w:val="00E075E5"/>
    <w:rsid w:val="00E1357D"/>
    <w:rsid w:val="00E15244"/>
    <w:rsid w:val="00E159CE"/>
    <w:rsid w:val="00E20104"/>
    <w:rsid w:val="00E25CC0"/>
    <w:rsid w:val="00E266FD"/>
    <w:rsid w:val="00E344D1"/>
    <w:rsid w:val="00E40B69"/>
    <w:rsid w:val="00E42F9D"/>
    <w:rsid w:val="00E45BDE"/>
    <w:rsid w:val="00E51C7A"/>
    <w:rsid w:val="00E51C97"/>
    <w:rsid w:val="00E52512"/>
    <w:rsid w:val="00E637D8"/>
    <w:rsid w:val="00E64278"/>
    <w:rsid w:val="00E66BDB"/>
    <w:rsid w:val="00E753F6"/>
    <w:rsid w:val="00E76921"/>
    <w:rsid w:val="00E816F4"/>
    <w:rsid w:val="00E87CD9"/>
    <w:rsid w:val="00EA0EBC"/>
    <w:rsid w:val="00EA1529"/>
    <w:rsid w:val="00EA3802"/>
    <w:rsid w:val="00EA7E27"/>
    <w:rsid w:val="00EB09B2"/>
    <w:rsid w:val="00EB514F"/>
    <w:rsid w:val="00EB7979"/>
    <w:rsid w:val="00EC2AC6"/>
    <w:rsid w:val="00EC6AA8"/>
    <w:rsid w:val="00EC7708"/>
    <w:rsid w:val="00ED05D4"/>
    <w:rsid w:val="00ED7062"/>
    <w:rsid w:val="00EE12CC"/>
    <w:rsid w:val="00EE3827"/>
    <w:rsid w:val="00EF7B0F"/>
    <w:rsid w:val="00F01FA7"/>
    <w:rsid w:val="00F10707"/>
    <w:rsid w:val="00F172B6"/>
    <w:rsid w:val="00F17D1E"/>
    <w:rsid w:val="00F241E1"/>
    <w:rsid w:val="00F34CC6"/>
    <w:rsid w:val="00F35571"/>
    <w:rsid w:val="00F4247C"/>
    <w:rsid w:val="00F435C6"/>
    <w:rsid w:val="00F51871"/>
    <w:rsid w:val="00F52AA0"/>
    <w:rsid w:val="00F56978"/>
    <w:rsid w:val="00F6342D"/>
    <w:rsid w:val="00F652BD"/>
    <w:rsid w:val="00F652C9"/>
    <w:rsid w:val="00F71606"/>
    <w:rsid w:val="00F720ED"/>
    <w:rsid w:val="00F74076"/>
    <w:rsid w:val="00F93DC7"/>
    <w:rsid w:val="00F9738D"/>
    <w:rsid w:val="00FA01B5"/>
    <w:rsid w:val="00FA1A15"/>
    <w:rsid w:val="00FA50DC"/>
    <w:rsid w:val="00FA5C2D"/>
    <w:rsid w:val="00FB4017"/>
    <w:rsid w:val="00FC2410"/>
    <w:rsid w:val="00FC72A2"/>
    <w:rsid w:val="00FD2179"/>
    <w:rsid w:val="00FD693F"/>
    <w:rsid w:val="00FD78D8"/>
    <w:rsid w:val="00FD7AB6"/>
    <w:rsid w:val="00FE045C"/>
    <w:rsid w:val="00FE10B1"/>
    <w:rsid w:val="00FF118B"/>
    <w:rsid w:val="00FF595F"/>
    <w:rsid w:val="00FF6614"/>
    <w:rsid w:val="00FF74E3"/>
    <w:rsid w:val="14EA0703"/>
    <w:rsid w:val="1DBD84AC"/>
    <w:rsid w:val="28FF3D67"/>
    <w:rsid w:val="35301D0A"/>
    <w:rsid w:val="37BE1646"/>
    <w:rsid w:val="3BCB19BF"/>
    <w:rsid w:val="3EAF2E8A"/>
    <w:rsid w:val="43346D48"/>
    <w:rsid w:val="4DC39753"/>
    <w:rsid w:val="4FC41575"/>
    <w:rsid w:val="57F6E554"/>
    <w:rsid w:val="5FDFD233"/>
    <w:rsid w:val="6DFF3B71"/>
    <w:rsid w:val="6EABE6B3"/>
    <w:rsid w:val="6FD719CF"/>
    <w:rsid w:val="737F4893"/>
    <w:rsid w:val="73BE6A8F"/>
    <w:rsid w:val="73BF5F81"/>
    <w:rsid w:val="75FF0AF2"/>
    <w:rsid w:val="767EBE78"/>
    <w:rsid w:val="76DFD67A"/>
    <w:rsid w:val="76EFFD7A"/>
    <w:rsid w:val="7967D74D"/>
    <w:rsid w:val="7B25A99E"/>
    <w:rsid w:val="7B3F6378"/>
    <w:rsid w:val="7EDF9324"/>
    <w:rsid w:val="7EEB1C1A"/>
    <w:rsid w:val="7F3E942B"/>
    <w:rsid w:val="7F7FA495"/>
    <w:rsid w:val="85F7663C"/>
    <w:rsid w:val="A6D7F26E"/>
    <w:rsid w:val="B91F6A12"/>
    <w:rsid w:val="DDFF5954"/>
    <w:rsid w:val="DFA32494"/>
    <w:rsid w:val="E643834D"/>
    <w:rsid w:val="E7F587E9"/>
    <w:rsid w:val="EB1DD663"/>
    <w:rsid w:val="EE7FE5AE"/>
    <w:rsid w:val="EED6433E"/>
    <w:rsid w:val="EF6FC8C0"/>
    <w:rsid w:val="EF7434EF"/>
    <w:rsid w:val="F6DF84E6"/>
    <w:rsid w:val="F77FFE34"/>
    <w:rsid w:val="F7C7A27B"/>
    <w:rsid w:val="FBE6C093"/>
    <w:rsid w:val="FE63FE32"/>
    <w:rsid w:val="FEF3FDA9"/>
    <w:rsid w:val="FF1DEE98"/>
    <w:rsid w:val="FF8FE5EE"/>
    <w:rsid w:val="FFDBDC9E"/>
    <w:rsid w:val="FFF9A02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2">
    <w:name w:val="heading 3"/>
    <w:basedOn w:val="1"/>
    <w:next w:val="1"/>
    <w:qFormat/>
    <w:locked/>
    <w:uiPriority w:val="0"/>
    <w:pPr>
      <w:widowControl/>
      <w:spacing w:before="100" w:beforeAutospacing="1" w:after="100" w:afterAutospacing="1"/>
      <w:jc w:val="left"/>
      <w:outlineLvl w:val="2"/>
    </w:pPr>
    <w:rPr>
      <w:rFonts w:ascii="宋体" w:hAnsi="宋体" w:eastAsia="黑体" w:cs="宋体"/>
      <w:bCs/>
      <w:kern w:val="0"/>
      <w:sz w:val="28"/>
      <w:szCs w:val="27"/>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3"/>
    <w:semiHidden/>
    <w:qFormat/>
    <w:uiPriority w:val="99"/>
    <w:pPr>
      <w:ind w:left="100" w:leftChars="2500"/>
    </w:pPr>
  </w:style>
  <w:style w:type="paragraph" w:styleId="4">
    <w:name w:val="Balloon Text"/>
    <w:basedOn w:val="1"/>
    <w:link w:val="14"/>
    <w:semiHidden/>
    <w:qFormat/>
    <w:uiPriority w:val="99"/>
    <w:rPr>
      <w:sz w:val="18"/>
      <w:szCs w:val="18"/>
    </w:rPr>
  </w:style>
  <w:style w:type="paragraph" w:styleId="5">
    <w:name w:val="footer"/>
    <w:basedOn w:val="1"/>
    <w:link w:val="15"/>
    <w:semiHidden/>
    <w:qFormat/>
    <w:uiPriority w:val="99"/>
    <w:pPr>
      <w:tabs>
        <w:tab w:val="center" w:pos="4153"/>
        <w:tab w:val="right" w:pos="8306"/>
      </w:tabs>
      <w:snapToGrid w:val="0"/>
      <w:jc w:val="left"/>
    </w:pPr>
    <w:rPr>
      <w:sz w:val="18"/>
      <w:szCs w:val="18"/>
    </w:rPr>
  </w:style>
  <w:style w:type="paragraph" w:styleId="6">
    <w:name w:val="header"/>
    <w:basedOn w:val="1"/>
    <w:link w:val="16"/>
    <w:semiHidden/>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99"/>
    <w:pPr>
      <w:spacing w:before="100" w:beforeAutospacing="1" w:after="100" w:afterAutospacing="1" w:line="420" w:lineRule="atLeast"/>
      <w:jc w:val="left"/>
    </w:pPr>
    <w:rPr>
      <w:rFonts w:ascii="仿宋_GB2312" w:hAnsi="Times New Roman" w:eastAsia="仿宋_GB2312" w:cs="仿宋_GB2312"/>
      <w:spacing w:val="-4"/>
      <w:kern w:val="0"/>
      <w:sz w:val="24"/>
      <w:szCs w:val="24"/>
    </w:rPr>
  </w:style>
  <w:style w:type="table" w:styleId="9">
    <w:name w:val="Table Grid"/>
    <w:basedOn w:val="8"/>
    <w:qFormat/>
    <w:uiPriority w:val="99"/>
    <w:rPr>
      <w:rFonts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Strong"/>
    <w:qFormat/>
    <w:locked/>
    <w:uiPriority w:val="0"/>
    <w:rPr>
      <w:b/>
    </w:rPr>
  </w:style>
  <w:style w:type="character" w:styleId="12">
    <w:name w:val="page number"/>
    <w:basedOn w:val="10"/>
    <w:qFormat/>
    <w:uiPriority w:val="99"/>
    <w:rPr>
      <w:rFonts w:cs="Times New Roman"/>
    </w:rPr>
  </w:style>
  <w:style w:type="character" w:customStyle="1" w:styleId="13">
    <w:name w:val="日期 Char"/>
    <w:basedOn w:val="10"/>
    <w:link w:val="3"/>
    <w:semiHidden/>
    <w:qFormat/>
    <w:locked/>
    <w:uiPriority w:val="99"/>
    <w:rPr>
      <w:rFonts w:cs="Times New Roman"/>
      <w:kern w:val="2"/>
      <w:sz w:val="21"/>
      <w:szCs w:val="21"/>
    </w:rPr>
  </w:style>
  <w:style w:type="character" w:customStyle="1" w:styleId="14">
    <w:name w:val="批注框文本 Char"/>
    <w:basedOn w:val="10"/>
    <w:link w:val="4"/>
    <w:semiHidden/>
    <w:qFormat/>
    <w:locked/>
    <w:uiPriority w:val="99"/>
    <w:rPr>
      <w:rFonts w:cs="Times New Roman"/>
      <w:sz w:val="2"/>
      <w:szCs w:val="2"/>
    </w:rPr>
  </w:style>
  <w:style w:type="character" w:customStyle="1" w:styleId="15">
    <w:name w:val="页脚 Char"/>
    <w:basedOn w:val="10"/>
    <w:link w:val="5"/>
    <w:semiHidden/>
    <w:qFormat/>
    <w:locked/>
    <w:uiPriority w:val="99"/>
    <w:rPr>
      <w:rFonts w:cs="Times New Roman"/>
      <w:sz w:val="18"/>
      <w:szCs w:val="18"/>
    </w:rPr>
  </w:style>
  <w:style w:type="character" w:customStyle="1" w:styleId="16">
    <w:name w:val="页眉 Char"/>
    <w:basedOn w:val="10"/>
    <w:link w:val="6"/>
    <w:semiHidden/>
    <w:qFormat/>
    <w:locked/>
    <w:uiPriority w:val="99"/>
    <w:rPr>
      <w:rFonts w:cs="Times New Roman"/>
      <w:sz w:val="18"/>
      <w:szCs w:val="18"/>
    </w:rPr>
  </w:style>
  <w:style w:type="paragraph" w:styleId="17">
    <w:name w:val="List Paragraph"/>
    <w:basedOn w:val="1"/>
    <w:qFormat/>
    <w:uiPriority w:val="99"/>
    <w:pPr>
      <w:ind w:firstLine="420" w:firstLineChars="200"/>
    </w:pPr>
  </w:style>
  <w:style w:type="paragraph" w:customStyle="1" w:styleId="18">
    <w:name w:val="_Style 4"/>
    <w:basedOn w:val="1"/>
    <w:qFormat/>
    <w:uiPriority w:val="99"/>
    <w:pPr>
      <w:tabs>
        <w:tab w:val="left" w:pos="1360"/>
      </w:tabs>
      <w:ind w:left="1360" w:hanging="720"/>
    </w:pPr>
    <w:rPr>
      <w:rFonts w:ascii="仿宋_GB2312" w:hAnsi="Times New Roman" w:eastAsia="仿宋_GB2312" w:cs="仿宋_GB2312"/>
      <w:spacing w:val="-4"/>
      <w:sz w:val="32"/>
      <w:szCs w:val="32"/>
    </w:rPr>
  </w:style>
  <w:style w:type="paragraph" w:customStyle="1" w:styleId="19">
    <w:name w:val="contentfont"/>
    <w:basedOn w:val="1"/>
    <w:qFormat/>
    <w:uiPriority w:val="99"/>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kjj</Company>
  <Pages>11</Pages>
  <Words>675</Words>
  <Characters>3854</Characters>
  <Lines>32</Lines>
  <Paragraphs>9</Paragraphs>
  <TotalTime>0</TotalTime>
  <ScaleCrop>false</ScaleCrop>
  <LinksUpToDate>false</LinksUpToDate>
  <CharactersWithSpaces>4520</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2020-04-14T23:15:00Z</dcterms:created>
  <dc:creator>wangxy</dc:creator>
  <cp:lastModifiedBy>lenovo</cp:lastModifiedBy>
  <cp:lastPrinted>2025-09-02T01:15:00Z</cp:lastPrinted>
  <dcterms:modified xsi:type="dcterms:W3CDTF">2025-09-04T01:12:20Z</dcterms:modified>
  <dc:title>关于《青岛市科技计划项目验收工作</dc:title>
  <cp:revision>125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B60A3CD85862452F99576E4545C0DFB1_12</vt:lpwstr>
  </property>
</Properties>
</file>