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eastAsiaTheme="minorEastAsia"/>
          <w:b/>
          <w:color w:val="000000" w:themeColor="text1"/>
          <w:sz w:val="32"/>
          <w:szCs w:val="32"/>
        </w:rPr>
      </w:pPr>
      <w:r>
        <w:rPr>
          <w:rFonts w:hAnsiTheme="minorEastAsia" w:eastAsiaTheme="minorEastAsia"/>
          <w:b/>
          <w:color w:val="000000" w:themeColor="text1"/>
          <w:sz w:val="32"/>
          <w:szCs w:val="32"/>
        </w:rPr>
        <w:t>提名</w:t>
      </w:r>
      <w:r>
        <w:rPr>
          <w:rFonts w:hint="eastAsia" w:hAnsiTheme="minorEastAsia" w:eastAsiaTheme="minorEastAsia"/>
          <w:b/>
          <w:color w:val="000000" w:themeColor="text1"/>
          <w:sz w:val="32"/>
          <w:szCs w:val="32"/>
        </w:rPr>
        <w:t>泰安市科学</w:t>
      </w:r>
      <w:r>
        <w:rPr>
          <w:rFonts w:hAnsiTheme="minorEastAsia" w:eastAsiaTheme="minorEastAsia"/>
          <w:b/>
          <w:color w:val="000000" w:themeColor="text1"/>
          <w:sz w:val="32"/>
          <w:szCs w:val="32"/>
        </w:rPr>
        <w:t>技术奖项目公示</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rPr>
        <w:t>一、</w:t>
      </w:r>
      <w:r>
        <w:rPr>
          <w:rFonts w:hAnsiTheme="minorEastAsia" w:eastAsiaTheme="minorEastAsia"/>
          <w:b/>
          <w:color w:val="000000" w:themeColor="text1"/>
          <w:sz w:val="24"/>
          <w:szCs w:val="32"/>
        </w:rPr>
        <w:t>项目名称</w:t>
      </w:r>
    </w:p>
    <w:p>
      <w:pPr>
        <w:snapToGrid w:val="0"/>
        <w:spacing w:line="360" w:lineRule="auto"/>
        <w:rPr>
          <w:rFonts w:ascii="宋体" w:hAnsi="宋体"/>
          <w:kern w:val="0"/>
          <w:sz w:val="24"/>
        </w:rPr>
      </w:pPr>
      <w:r>
        <w:rPr>
          <w:rFonts w:hint="eastAsia" w:ascii="宋体" w:hAnsi="宋体"/>
          <w:kern w:val="0"/>
          <w:sz w:val="24"/>
        </w:rPr>
        <w:t>坚硬厚层顶板破断运动及其灾变防治技术</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二</w:t>
      </w:r>
      <w:r>
        <w:rPr>
          <w:rFonts w:hint="eastAsia" w:hAnsiTheme="minorEastAsia" w:eastAsiaTheme="minorEastAsia"/>
          <w:b/>
          <w:color w:val="000000" w:themeColor="text1"/>
          <w:sz w:val="24"/>
          <w:szCs w:val="32"/>
        </w:rPr>
        <w:t>、</w:t>
      </w:r>
      <w:r>
        <w:rPr>
          <w:rFonts w:hAnsiTheme="minorEastAsia" w:eastAsiaTheme="minorEastAsia"/>
          <w:b/>
          <w:color w:val="000000" w:themeColor="text1"/>
          <w:sz w:val="24"/>
          <w:szCs w:val="32"/>
        </w:rPr>
        <w:t>提名单位意见</w:t>
      </w:r>
    </w:p>
    <w:p>
      <w:pPr>
        <w:adjustRightInd w:val="0"/>
        <w:snapToGrid w:val="0"/>
        <w:spacing w:line="360" w:lineRule="auto"/>
        <w:ind w:firstLine="480" w:firstLineChars="200"/>
        <w:rPr>
          <w:rFonts w:hint="eastAsia" w:hAnsi="宋体"/>
          <w:sz w:val="24"/>
        </w:rPr>
      </w:pPr>
      <w:r>
        <w:rPr>
          <w:rFonts w:hint="eastAsia" w:hAnsi="宋体"/>
          <w:sz w:val="24"/>
        </w:rPr>
        <w:t>该项目围绕坚硬厚层顶板破断运动及其灾变防治</w:t>
      </w:r>
      <w:r>
        <w:rPr>
          <w:rFonts w:hint="eastAsia" w:hAnsi="宋体"/>
          <w:sz w:val="24"/>
          <w:lang w:eastAsia="zh-CN"/>
        </w:rPr>
        <w:t>问题</w:t>
      </w:r>
      <w:r>
        <w:rPr>
          <w:rFonts w:hint="eastAsia" w:hAnsi="宋体"/>
          <w:sz w:val="24"/>
        </w:rPr>
        <w:t>，开展了</w:t>
      </w:r>
      <w:r>
        <w:rPr>
          <w:rFonts w:hint="eastAsia" w:hAnsi="宋体"/>
          <w:sz w:val="24"/>
          <w:lang w:eastAsia="zh-CN"/>
        </w:rPr>
        <w:t>深入系统的</w:t>
      </w:r>
      <w:r>
        <w:rPr>
          <w:rFonts w:hint="eastAsia" w:hAnsi="宋体"/>
          <w:sz w:val="24"/>
        </w:rPr>
        <w:t>研究，取得了如下创新成果：构建了坚硬厚层顶板Winkler基础正交梁模型，理论预测了其破断步距；建立了关键层破断力学模型，研究了覆岩破断角发展行为及其与覆岩结构关系；</w:t>
      </w:r>
      <w:r>
        <w:rPr>
          <w:rFonts w:hint="eastAsia" w:hAnsi="宋体"/>
          <w:sz w:val="24"/>
          <w:lang w:eastAsia="zh-CN"/>
        </w:rPr>
        <w:t>构建</w:t>
      </w:r>
      <w:r>
        <w:rPr>
          <w:rFonts w:hint="eastAsia" w:hAnsi="宋体"/>
          <w:sz w:val="24"/>
        </w:rPr>
        <w:t>了工程岩体裂隙发育和残余杨氏模量损伤劣化模型，提出了基于连续介质的工程岩体破裂劣化模拟方法。建立了最大离层空间体积预测模型，分析了离层空间形成机理及条件，揭示了离层空间时空演化和扩展规律，提出了离层空间演化过程的确定方法；自主设计了室内岩石摩擦效应引燃瓦斯试验箱，实验分析揭示了坚硬顶板垮落诱发采空区瓦斯爆燃机理。提出了条带开采、采空区充填开采和离层区注浆充填开采等技术，有效控制了坚硬厚层顶板大面积悬空，降低了其运动空间；提出了强制放顶、采空区矸石喷水、注入惰性气体等预防技术，有效控制了坚硬厚层顶板破断摩擦诱导瓦斯爆燃。研制了采掘工作面适用</w:t>
      </w:r>
      <w:r>
        <w:rPr>
          <w:rFonts w:hint="eastAsia" w:hAnsi="宋体"/>
          <w:sz w:val="24"/>
          <w:lang w:eastAsia="zh-CN"/>
        </w:rPr>
        <w:t>的</w:t>
      </w:r>
      <w:r>
        <w:rPr>
          <w:rFonts w:hint="eastAsia" w:hAnsi="宋体"/>
          <w:sz w:val="24"/>
        </w:rPr>
        <w:t>支护方法及支护设备，保证了</w:t>
      </w:r>
      <w:r>
        <w:rPr>
          <w:rFonts w:hint="eastAsia" w:hAnsi="宋体"/>
          <w:sz w:val="24"/>
          <w:lang w:eastAsia="zh-CN"/>
        </w:rPr>
        <w:t>工作面</w:t>
      </w:r>
      <w:r>
        <w:rPr>
          <w:rFonts w:hint="eastAsia" w:hAnsi="宋体"/>
          <w:sz w:val="24"/>
        </w:rPr>
        <w:t>顶板的稳定性。该项目成果丰富，整体技术达到国际先进水平。</w:t>
      </w:r>
    </w:p>
    <w:p>
      <w:pPr>
        <w:adjustRightInd w:val="0"/>
        <w:snapToGrid w:val="0"/>
        <w:spacing w:line="360" w:lineRule="auto"/>
        <w:ind w:firstLine="480" w:firstLineChars="200"/>
        <w:rPr>
          <w:rFonts w:hint="eastAsia" w:hAnsi="宋体"/>
          <w:sz w:val="24"/>
        </w:rPr>
      </w:pPr>
      <w:r>
        <w:rPr>
          <w:rFonts w:hint="eastAsia" w:hAnsi="宋体"/>
          <w:sz w:val="24"/>
        </w:rPr>
        <w:t>我单位认真审阅了该项目推荐书及其附件材料，确认真实有效，相关栏目符合填写要求。按照要求，所有完成单位和项目完成人所在单位均已对该项目的拟推荐情况进行了公示，公示期间无异议。</w:t>
      </w:r>
    </w:p>
    <w:p>
      <w:pPr>
        <w:adjustRightInd w:val="0"/>
        <w:snapToGrid w:val="0"/>
        <w:spacing w:line="360" w:lineRule="auto"/>
        <w:ind w:firstLine="480" w:firstLineChars="200"/>
        <w:rPr>
          <w:rFonts w:hint="eastAsia" w:hAnsi="宋体"/>
          <w:sz w:val="24"/>
          <w:lang w:eastAsia="zh-CN"/>
        </w:rPr>
      </w:pPr>
      <w:r>
        <w:rPr>
          <w:rFonts w:hint="eastAsia" w:hAnsi="宋体"/>
          <w:sz w:val="24"/>
        </w:rPr>
        <w:t>对照泰安市科技进步奖申报和推荐基本条件，同意推荐申报泰安市科技进</w:t>
      </w:r>
      <w:r>
        <w:rPr>
          <w:rFonts w:hint="eastAsia" w:hAnsi="宋体"/>
          <w:sz w:val="24"/>
          <w:lang w:eastAsia="zh-CN"/>
        </w:rPr>
        <w:t>步奖，并服从评审结果。</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二、项目简介</w:t>
      </w:r>
    </w:p>
    <w:p>
      <w:pPr>
        <w:adjustRightInd w:val="0"/>
        <w:snapToGrid w:val="0"/>
        <w:spacing w:line="360" w:lineRule="auto"/>
        <w:ind w:firstLine="480"/>
        <w:rPr>
          <w:rFonts w:hAnsi="宋体"/>
          <w:sz w:val="24"/>
        </w:rPr>
      </w:pPr>
      <w:r>
        <w:rPr>
          <w:rFonts w:hint="eastAsia" w:hAnsi="宋体"/>
          <w:sz w:val="24"/>
        </w:rPr>
        <w:t xml:space="preserve">随着煤炭资源需求量和产能增长，致使其开采强度增大、开采条件复杂，尤其是上覆坚硬厚层岩层时，其强度高、完整性好、初次破断步距大，回采后易形成巨大离层空间，采场应力异常集中，且破断运移易诱发冲击地压、压架、离层水-瓦斯突涌等，严重威胁煤矿安全生产。坚硬厚层顶板在我国多个矿区均有分布，如济三煤矿巨厚岩浆岩、海孜煤矿巨厚岩浆岩、杨柳煤矿岩浆岩等。其中，山东泰安华丰煤矿赋存400~800m巨厚砾岩，回采期间支承压力异常，诱发冲击上万次，迫使停产12次，累计造成43人重伤等，对社会和经济效益产生不利影响。因此，需对坚硬厚层顶板破断运动及其灾变防治技术亟需开展系统研究，以期研究成果可为减少或避免类似条件煤层动力灾害提供重要指导。 </w:t>
      </w:r>
    </w:p>
    <w:p>
      <w:pPr>
        <w:adjustRightInd w:val="0"/>
        <w:snapToGrid w:val="0"/>
        <w:spacing w:line="360" w:lineRule="auto"/>
        <w:ind w:firstLine="480"/>
        <w:rPr>
          <w:rFonts w:hAnsi="宋体"/>
          <w:sz w:val="24"/>
        </w:rPr>
      </w:pPr>
      <w:r>
        <w:rPr>
          <w:rFonts w:hint="eastAsia" w:hAnsi="宋体"/>
          <w:sz w:val="24"/>
        </w:rPr>
        <w:t>目前，上覆坚硬厚层顶板工作面开采面临的主要科学问题：（1）上覆坚硬厚层顶板自身物理力学性能强，对其破断步距理论研究或未考虑其下伏岩层弹性地基效应，或未考虑覆岩破裂角发展行为，或未考虑采动围岩裂化及强度弱化等问题；（2）坚硬厚层顶板下易形成大面积悬顶及离层空间，缺乏对离层空间体积的有效预测，也缺乏对离层水-气及顶板破坏摩擦引燃瓦斯等机理研究；（3）采动影响下坚硬厚层顶板破坏易诱发单个或复合灾害，缺乏系统的灾害防治方法；（4）采掘过程中顶板稳定性受到影响，缺乏适用的支护设备及支护方法的研发。因此，有必要开展相关问题研究，进而达到解决克服煤矿上覆坚硬厚层顶板工作面开采的关键难点。</w:t>
      </w:r>
    </w:p>
    <w:p>
      <w:pPr>
        <w:adjustRightInd w:val="0"/>
        <w:snapToGrid w:val="0"/>
        <w:spacing w:line="360" w:lineRule="auto"/>
        <w:ind w:firstLine="480"/>
        <w:rPr>
          <w:rFonts w:hAnsi="宋体"/>
          <w:sz w:val="24"/>
        </w:rPr>
      </w:pPr>
      <w:r>
        <w:rPr>
          <w:rFonts w:hint="eastAsia" w:hAnsi="宋体"/>
          <w:sz w:val="24"/>
        </w:rPr>
        <w:t>为解决以上问题，开展了坚硬厚层顶板破断运动及其灾变防治技术研究，取得了以下成果：</w:t>
      </w:r>
    </w:p>
    <w:p>
      <w:pPr>
        <w:adjustRightInd w:val="0"/>
        <w:snapToGrid w:val="0"/>
        <w:spacing w:line="360" w:lineRule="auto"/>
        <w:ind w:firstLine="480"/>
        <w:rPr>
          <w:rFonts w:hAnsi="宋体"/>
          <w:sz w:val="24"/>
        </w:rPr>
      </w:pPr>
      <w:r>
        <w:rPr>
          <w:rFonts w:hint="eastAsia" w:hAnsi="宋体"/>
          <w:sz w:val="24"/>
        </w:rPr>
        <w:t>（1）构建了坚硬厚层顶板Winkler基础正交梁模型，理论预测了其破断步距，揭示了围岩系统弹性基础效应；建立了关键层破断力学模型，研究了覆岩破断角发展行为及其与覆岩结构关系；建立了工程岩体裂隙发育和残余杨氏模量损伤劣化模型，提出了基于连续介质的工程岩体破裂劣化模拟方法。</w:t>
      </w:r>
    </w:p>
    <w:p>
      <w:pPr>
        <w:adjustRightInd w:val="0"/>
        <w:snapToGrid w:val="0"/>
        <w:spacing w:line="360" w:lineRule="auto"/>
        <w:ind w:firstLine="480"/>
        <w:rPr>
          <w:rFonts w:hAnsi="宋体"/>
          <w:sz w:val="24"/>
        </w:rPr>
      </w:pPr>
      <w:r>
        <w:rPr>
          <w:rFonts w:hint="eastAsia" w:hAnsi="宋体"/>
          <w:sz w:val="24"/>
        </w:rPr>
        <w:t>（2）建立了考虑弹性基础效应的最大离层空间体积预测模型，得到了坚硬厚层顶板下最大离层空间体积；分析了离层空间形成机理及条件，揭示了离层空间时空演化和扩展规律，提出了离层空间演化过程的确定方法；研究了坚硬厚层顶板破裂岩石摩擦起火与垮落岩块质量、垮落高度关系以及采空区瓦斯易燃易爆点分布规律，自主设计了室内岩石摩擦效应引燃瓦斯试验箱，实验分析揭示了坚硬顶板垮落诱发采空区瓦斯爆燃机理。</w:t>
      </w:r>
    </w:p>
    <w:p>
      <w:pPr>
        <w:adjustRightInd w:val="0"/>
        <w:snapToGrid w:val="0"/>
        <w:spacing w:line="360" w:lineRule="auto"/>
        <w:ind w:firstLine="480"/>
        <w:rPr>
          <w:rFonts w:hAnsi="宋体"/>
          <w:sz w:val="24"/>
        </w:rPr>
      </w:pPr>
      <w:r>
        <w:rPr>
          <w:rFonts w:hint="eastAsia" w:hAnsi="宋体"/>
          <w:sz w:val="24"/>
        </w:rPr>
        <w:t>（3）提出了条带开采、采空区充填开采和离层区注浆充填开采等技术，有效控制了坚硬厚层顶板大面积悬空，降低了其运动空间；提出了强制放顶、采空区矸石喷水、注入惰性气体等预防技术，有效控制了坚硬厚层顶板破断摩擦诱导瓦斯爆燃。</w:t>
      </w:r>
    </w:p>
    <w:p>
      <w:pPr>
        <w:adjustRightInd w:val="0"/>
        <w:snapToGrid w:val="0"/>
        <w:spacing w:line="360" w:lineRule="auto"/>
        <w:ind w:firstLine="480"/>
        <w:rPr>
          <w:rFonts w:hint="eastAsia" w:hAnsi="宋体"/>
          <w:sz w:val="24"/>
        </w:rPr>
      </w:pPr>
      <w:r>
        <w:rPr>
          <w:rFonts w:hint="eastAsia" w:hAnsi="宋体"/>
          <w:sz w:val="24"/>
          <w:lang w:eastAsia="zh-CN"/>
        </w:rPr>
        <w:t>（</w:t>
      </w:r>
      <w:r>
        <w:rPr>
          <w:rFonts w:hint="eastAsia" w:hAnsi="宋体"/>
          <w:sz w:val="24"/>
          <w:lang w:val="en-US" w:eastAsia="zh-CN"/>
        </w:rPr>
        <w:t>4</w:t>
      </w:r>
      <w:r>
        <w:rPr>
          <w:rFonts w:hint="eastAsia" w:hAnsi="宋体"/>
          <w:sz w:val="24"/>
          <w:lang w:eastAsia="zh-CN"/>
        </w:rPr>
        <w:t>）</w:t>
      </w:r>
      <w:r>
        <w:rPr>
          <w:rFonts w:hint="eastAsia" w:hAnsi="宋体"/>
          <w:sz w:val="24"/>
        </w:rPr>
        <w:t>提出并研制了采掘工作面适用</w:t>
      </w:r>
      <w:r>
        <w:rPr>
          <w:rFonts w:hint="eastAsia" w:hAnsi="宋体"/>
          <w:sz w:val="24"/>
          <w:lang w:eastAsia="zh-CN"/>
        </w:rPr>
        <w:t>的</w:t>
      </w:r>
      <w:r>
        <w:rPr>
          <w:rFonts w:hint="eastAsia" w:hAnsi="宋体"/>
          <w:sz w:val="24"/>
        </w:rPr>
        <w:t>支护方法及支护设备，保证了</w:t>
      </w:r>
      <w:r>
        <w:rPr>
          <w:rFonts w:hint="eastAsia" w:hAnsi="宋体"/>
          <w:sz w:val="24"/>
          <w:lang w:eastAsia="zh-CN"/>
        </w:rPr>
        <w:t>工作面</w:t>
      </w:r>
      <w:r>
        <w:rPr>
          <w:rFonts w:hint="eastAsia" w:hAnsi="宋体"/>
          <w:sz w:val="24"/>
        </w:rPr>
        <w:t>顶板的稳定性。</w:t>
      </w:r>
    </w:p>
    <w:p>
      <w:pPr>
        <w:adjustRightInd w:val="0"/>
        <w:snapToGrid w:val="0"/>
        <w:spacing w:line="360" w:lineRule="auto"/>
        <w:ind w:firstLine="480"/>
        <w:rPr>
          <w:rFonts w:hAnsi="宋体"/>
          <w:sz w:val="24"/>
        </w:rPr>
      </w:pPr>
      <w:r>
        <w:rPr>
          <w:rFonts w:hint="eastAsia" w:hAnsi="宋体"/>
          <w:sz w:val="24"/>
        </w:rPr>
        <w:t>研究成果已成功应用于淮北杨柳煤矿和其它类似条件煤层</w:t>
      </w:r>
      <w:r>
        <w:rPr>
          <w:rFonts w:hint="eastAsia" w:hAnsi="宋体"/>
          <w:sz w:val="24"/>
          <w:lang w:eastAsia="zh-CN"/>
        </w:rPr>
        <w:t>等</w:t>
      </w:r>
      <w:r>
        <w:rPr>
          <w:rFonts w:hint="eastAsia" w:hAnsi="宋体"/>
          <w:sz w:val="24"/>
        </w:rPr>
        <w:t>工作面开采，经济和社会效益突出。先后发表学术论文25篇，发明专利13项，实用新型专利9项。</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三、客观评价</w:t>
      </w:r>
    </w:p>
    <w:p>
      <w:pPr>
        <w:adjustRightInd w:val="0"/>
        <w:snapToGrid w:val="0"/>
        <w:spacing w:line="360" w:lineRule="auto"/>
        <w:ind w:firstLine="480"/>
        <w:rPr>
          <w:rFonts w:hAnsi="宋体"/>
          <w:sz w:val="24"/>
        </w:rPr>
      </w:pPr>
      <w:r>
        <w:rPr>
          <w:rFonts w:hint="eastAsia" w:hAnsi="宋体"/>
          <w:sz w:val="24"/>
        </w:rPr>
        <w:t>（1）查新报告</w:t>
      </w:r>
    </w:p>
    <w:p>
      <w:pPr>
        <w:adjustRightInd w:val="0"/>
        <w:snapToGrid w:val="0"/>
        <w:spacing w:line="360" w:lineRule="auto"/>
        <w:ind w:firstLine="480"/>
        <w:rPr>
          <w:rFonts w:hAnsi="宋体"/>
          <w:sz w:val="24"/>
        </w:rPr>
      </w:pPr>
      <w:r>
        <w:rPr>
          <w:rFonts w:hint="eastAsia" w:hAnsi="宋体"/>
          <w:sz w:val="24"/>
        </w:rPr>
        <w:t>2015年6月，委托教育部科技查新工作站对“106采取岩浆岩下安全开采评价与关键技术研究”进行了成果查新。查新报告编号：201536000G080232。查新结论：在检索范围内，国内外未见与本查新项目技术内容完全相同的文献报道。</w:t>
      </w:r>
    </w:p>
    <w:p>
      <w:pPr>
        <w:adjustRightInd w:val="0"/>
        <w:snapToGrid w:val="0"/>
        <w:spacing w:line="360" w:lineRule="auto"/>
        <w:ind w:firstLine="480"/>
        <w:rPr>
          <w:rFonts w:hAnsi="宋体"/>
          <w:sz w:val="24"/>
        </w:rPr>
      </w:pPr>
      <w:r>
        <w:rPr>
          <w:rFonts w:hint="eastAsia" w:hAnsi="宋体"/>
          <w:sz w:val="24"/>
        </w:rPr>
        <w:t>（2）科技成果鉴定结论</w:t>
      </w:r>
    </w:p>
    <w:p>
      <w:pPr>
        <w:adjustRightInd w:val="0"/>
        <w:snapToGrid w:val="0"/>
        <w:spacing w:line="360" w:lineRule="auto"/>
        <w:ind w:firstLine="480"/>
        <w:rPr>
          <w:rFonts w:hAnsi="宋体"/>
          <w:sz w:val="24"/>
        </w:rPr>
      </w:pPr>
      <w:r>
        <w:rPr>
          <w:rFonts w:hint="eastAsia" w:hAnsi="宋体"/>
          <w:sz w:val="24"/>
        </w:rPr>
        <w:t>2015年7月，由安徽省科学技术厅对“106采取岩浆岩下安全开采评价与关键技术研究”课题研究成果进行了鉴定，鉴定结论：项目达到了国际先进水平。</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四、推广应用情况</w:t>
      </w:r>
    </w:p>
    <w:p>
      <w:pPr>
        <w:adjustRightInd w:val="0"/>
        <w:snapToGrid w:val="0"/>
        <w:spacing w:line="360" w:lineRule="auto"/>
        <w:ind w:firstLine="480"/>
        <w:rPr>
          <w:rFonts w:hAnsi="宋体"/>
          <w:sz w:val="24"/>
        </w:rPr>
      </w:pPr>
      <w:r>
        <w:rPr>
          <w:rFonts w:hint="eastAsia" w:hAnsi="宋体"/>
          <w:sz w:val="24"/>
        </w:rPr>
        <w:t>研究成果已成功应用于为杨柳煤矿和其它类似条件煤层的开采，安全开采了上覆坚硬厚层顶板下的高瓦斯煤层，不仅避免了瓦斯灾害和事故，而且解除了冲击地压及大面积来压威胁，保证了矿井的安全回采，延长了矿井的服务年限；实现了安全生产，保证了生产的正常接续和经济效益的提高，为类似条件的煤矿开采防治解危提供了具有重要参考价值的成功范例。从理论研究、措施制定优化、方案实施及监控监测都为类似开采情况提供了可参考经验。</w:t>
      </w:r>
    </w:p>
    <w:p>
      <w:pPr>
        <w:adjustRightInd w:val="0"/>
        <w:snapToGrid w:val="0"/>
        <w:spacing w:line="360" w:lineRule="auto"/>
        <w:ind w:firstLine="480"/>
        <w:rPr>
          <w:rFonts w:hAnsi="宋体"/>
          <w:sz w:val="24"/>
        </w:rPr>
      </w:pPr>
    </w:p>
    <w:p>
      <w:pPr>
        <w:adjustRightInd w:val="0"/>
        <w:snapToGrid w:val="0"/>
        <w:spacing w:line="360" w:lineRule="auto"/>
        <w:rPr>
          <w:rFonts w:eastAsiaTheme="minorEastAsia"/>
          <w:b/>
          <w:color w:val="000000" w:themeColor="text1"/>
          <w:sz w:val="24"/>
          <w:szCs w:val="32"/>
        </w:rPr>
        <w:sectPr>
          <w:pgSz w:w="11906" w:h="16838"/>
          <w:pgMar w:top="1440" w:right="1800" w:bottom="1440" w:left="1800" w:header="851" w:footer="992" w:gutter="0"/>
          <w:cols w:space="425" w:num="1"/>
          <w:docGrid w:type="lines" w:linePitch="312" w:charSpace="0"/>
        </w:sectPr>
      </w:pPr>
    </w:p>
    <w:p>
      <w:pPr>
        <w:snapToGrid w:val="0"/>
        <w:spacing w:line="360" w:lineRule="auto"/>
        <w:rPr>
          <w:rStyle w:val="9"/>
          <w:rFonts w:hAnsiTheme="minorEastAsia" w:eastAsiaTheme="minorEastAsia"/>
          <w:bCs w:val="0"/>
          <w:color w:val="000000" w:themeColor="text1"/>
          <w:sz w:val="24"/>
          <w:szCs w:val="32"/>
        </w:rPr>
      </w:pPr>
      <w:r>
        <w:rPr>
          <w:rFonts w:hAnsiTheme="minorEastAsia" w:eastAsiaTheme="minorEastAsia"/>
          <w:b/>
          <w:color w:val="000000" w:themeColor="text1"/>
          <w:sz w:val="24"/>
          <w:szCs w:val="32"/>
        </w:rPr>
        <w:t>五、主要知识产权证明目录</w:t>
      </w:r>
    </w:p>
    <w:tbl>
      <w:tblPr>
        <w:tblStyle w:val="7"/>
        <w:tblW w:w="17081"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1"/>
        <w:gridCol w:w="2958"/>
        <w:gridCol w:w="1706"/>
        <w:gridCol w:w="1363"/>
        <w:gridCol w:w="1369"/>
        <w:gridCol w:w="1446"/>
        <w:gridCol w:w="1236"/>
        <w:gridCol w:w="1446"/>
        <w:gridCol w:w="1269"/>
        <w:gridCol w:w="1269"/>
        <w:gridCol w:w="1269"/>
        <w:gridCol w:w="12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1" w:type="dxa"/>
            <w:shd w:val="clear" w:color="auto" w:fill="auto"/>
            <w:vAlign w:val="center"/>
          </w:tcPr>
          <w:p>
            <w:pPr>
              <w:jc w:val="center"/>
              <w:rPr>
                <w:bCs/>
              </w:rPr>
            </w:pPr>
            <w:r>
              <w:rPr>
                <w:rFonts w:hint="eastAsia"/>
                <w:bCs/>
              </w:rPr>
              <w:t>序号</w:t>
            </w:r>
          </w:p>
        </w:tc>
        <w:tc>
          <w:tcPr>
            <w:tcW w:w="2958" w:type="dxa"/>
            <w:shd w:val="clear" w:color="auto" w:fill="auto"/>
            <w:vAlign w:val="center"/>
          </w:tcPr>
          <w:p>
            <w:pPr>
              <w:jc w:val="center"/>
              <w:rPr>
                <w:bCs/>
              </w:rPr>
            </w:pPr>
            <w:r>
              <w:rPr>
                <w:rFonts w:hint="eastAsia"/>
                <w:bCs/>
              </w:rPr>
              <w:t>知识产权名称</w:t>
            </w:r>
          </w:p>
        </w:tc>
        <w:tc>
          <w:tcPr>
            <w:tcW w:w="1706" w:type="dxa"/>
            <w:shd w:val="clear" w:color="auto" w:fill="auto"/>
            <w:vAlign w:val="center"/>
          </w:tcPr>
          <w:p>
            <w:pPr>
              <w:jc w:val="center"/>
              <w:rPr>
                <w:bCs/>
              </w:rPr>
            </w:pPr>
            <w:r>
              <w:rPr>
                <w:rFonts w:hint="eastAsia"/>
                <w:bCs/>
              </w:rPr>
              <w:t>知识产权类别</w:t>
            </w:r>
          </w:p>
        </w:tc>
        <w:tc>
          <w:tcPr>
            <w:tcW w:w="1363" w:type="dxa"/>
            <w:shd w:val="clear" w:color="auto" w:fill="auto"/>
            <w:vAlign w:val="center"/>
          </w:tcPr>
          <w:p>
            <w:pPr>
              <w:jc w:val="center"/>
              <w:rPr>
                <w:bCs/>
              </w:rPr>
            </w:pPr>
            <w:r>
              <w:rPr>
                <w:rFonts w:hint="eastAsia"/>
                <w:bCs/>
              </w:rPr>
              <w:t>发明人</w:t>
            </w:r>
          </w:p>
        </w:tc>
        <w:tc>
          <w:tcPr>
            <w:tcW w:w="1369" w:type="dxa"/>
            <w:shd w:val="clear" w:color="auto" w:fill="auto"/>
            <w:vAlign w:val="center"/>
          </w:tcPr>
          <w:p>
            <w:pPr>
              <w:jc w:val="center"/>
              <w:rPr>
                <w:bCs/>
              </w:rPr>
            </w:pPr>
            <w:r>
              <w:rPr>
                <w:rFonts w:hint="eastAsia"/>
                <w:bCs/>
              </w:rPr>
              <w:t>知识产权人</w:t>
            </w:r>
          </w:p>
        </w:tc>
        <w:tc>
          <w:tcPr>
            <w:tcW w:w="1446" w:type="dxa"/>
            <w:shd w:val="clear" w:color="auto" w:fill="auto"/>
            <w:vAlign w:val="center"/>
          </w:tcPr>
          <w:p>
            <w:pPr>
              <w:jc w:val="center"/>
              <w:rPr>
                <w:bCs/>
              </w:rPr>
            </w:pPr>
            <w:r>
              <w:rPr>
                <w:rFonts w:hint="eastAsia"/>
                <w:bCs/>
              </w:rPr>
              <w:t>知识产权号</w:t>
            </w:r>
          </w:p>
        </w:tc>
        <w:tc>
          <w:tcPr>
            <w:tcW w:w="1236" w:type="dxa"/>
            <w:shd w:val="clear" w:color="auto" w:fill="auto"/>
            <w:vAlign w:val="center"/>
          </w:tcPr>
          <w:p>
            <w:pPr>
              <w:jc w:val="center"/>
              <w:rPr>
                <w:bCs/>
              </w:rPr>
            </w:pPr>
            <w:r>
              <w:rPr>
                <w:rFonts w:hint="eastAsia"/>
                <w:bCs/>
              </w:rPr>
              <w:t>取得日期</w:t>
            </w:r>
          </w:p>
        </w:tc>
        <w:tc>
          <w:tcPr>
            <w:tcW w:w="1446" w:type="dxa"/>
            <w:shd w:val="clear" w:color="auto" w:fill="auto"/>
            <w:vAlign w:val="center"/>
          </w:tcPr>
          <w:p>
            <w:pPr>
              <w:jc w:val="center"/>
              <w:rPr>
                <w:bCs/>
              </w:rPr>
            </w:pPr>
            <w:r>
              <w:rPr>
                <w:rFonts w:hint="eastAsia"/>
                <w:bCs/>
              </w:rPr>
              <w:t>国（区）别</w:t>
            </w:r>
          </w:p>
        </w:tc>
        <w:tc>
          <w:tcPr>
            <w:tcW w:w="1269" w:type="dxa"/>
            <w:shd w:val="clear" w:color="auto" w:fill="auto"/>
            <w:vAlign w:val="center"/>
          </w:tcPr>
          <w:p>
            <w:pPr>
              <w:jc w:val="center"/>
              <w:rPr>
                <w:bCs/>
              </w:rPr>
            </w:pPr>
            <w:r>
              <w:rPr>
                <w:rFonts w:hint="eastAsia"/>
                <w:bCs/>
              </w:rPr>
              <w:t>发明专利</w:t>
            </w:r>
          </w:p>
          <w:p>
            <w:pPr>
              <w:jc w:val="center"/>
              <w:rPr>
                <w:bCs/>
              </w:rPr>
            </w:pPr>
            <w:r>
              <w:rPr>
                <w:rFonts w:hint="eastAsia"/>
                <w:bCs/>
              </w:rPr>
              <w:t>有效状态</w:t>
            </w:r>
          </w:p>
        </w:tc>
        <w:tc>
          <w:tcPr>
            <w:tcW w:w="1269" w:type="dxa"/>
            <w:shd w:val="clear" w:color="auto" w:fill="auto"/>
            <w:vAlign w:val="center"/>
          </w:tcPr>
          <w:p>
            <w:pPr>
              <w:jc w:val="center"/>
              <w:rPr>
                <w:bCs/>
              </w:rPr>
            </w:pPr>
            <w:r>
              <w:rPr>
                <w:rFonts w:hint="eastAsia"/>
                <w:bCs/>
              </w:rPr>
              <w:t>证明材料</w:t>
            </w:r>
          </w:p>
        </w:tc>
        <w:tc>
          <w:tcPr>
            <w:tcW w:w="1269" w:type="dxa"/>
          </w:tcPr>
          <w:p>
            <w:pPr>
              <w:jc w:val="center"/>
              <w:rPr>
                <w:bCs/>
              </w:rPr>
            </w:pPr>
            <w:r>
              <w:rPr>
                <w:rFonts w:hint="eastAsia"/>
                <w:bCs/>
                <w:highlight w:val="none"/>
              </w:rPr>
              <w:t>第一完成人是否参与</w:t>
            </w:r>
          </w:p>
        </w:tc>
        <w:tc>
          <w:tcPr>
            <w:tcW w:w="1269" w:type="dxa"/>
          </w:tcPr>
          <w:p>
            <w:pPr>
              <w:jc w:val="center"/>
              <w:rPr>
                <w:bCs/>
              </w:rPr>
            </w:pPr>
            <w:r>
              <w:rPr>
                <w:rFonts w:hint="eastAsia"/>
                <w:bCs/>
              </w:rPr>
              <w:t>第一完成单位是否参与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1</w:t>
            </w:r>
          </w:p>
        </w:tc>
        <w:tc>
          <w:tcPr>
            <w:tcW w:w="2958" w:type="dxa"/>
            <w:shd w:val="clear" w:color="auto" w:fill="auto"/>
            <w:vAlign w:val="center"/>
          </w:tcPr>
          <w:p>
            <w:pPr>
              <w:jc w:val="center"/>
              <w:rPr>
                <w:bCs/>
                <w:szCs w:val="21"/>
              </w:rPr>
            </w:pPr>
            <w:r>
              <w:rPr>
                <w:rFonts w:hint="eastAsia"/>
                <w:bCs/>
                <w:szCs w:val="21"/>
              </w:rPr>
              <w:t>一种基于连续介质的工程岩体破裂劣化数值模拟方法</w:t>
            </w:r>
          </w:p>
        </w:tc>
        <w:tc>
          <w:tcPr>
            <w:tcW w:w="1706" w:type="dxa"/>
            <w:shd w:val="clear" w:color="auto" w:fill="auto"/>
            <w:vAlign w:val="center"/>
          </w:tcPr>
          <w:p>
            <w:pPr>
              <w:jc w:val="center"/>
              <w:rPr>
                <w:bCs/>
                <w:szCs w:val="21"/>
              </w:rPr>
            </w:pPr>
            <w:r>
              <w:rPr>
                <w:bCs/>
                <w:szCs w:val="21"/>
              </w:rPr>
              <w:t>发明专利</w:t>
            </w:r>
            <w:r>
              <w:rPr>
                <w:bCs/>
              </w:rPr>
              <w:t>权</w:t>
            </w:r>
          </w:p>
        </w:tc>
        <w:tc>
          <w:tcPr>
            <w:tcW w:w="1363" w:type="dxa"/>
            <w:shd w:val="clear" w:color="auto" w:fill="auto"/>
            <w:vAlign w:val="center"/>
          </w:tcPr>
          <w:p>
            <w:pPr>
              <w:jc w:val="center"/>
              <w:rPr>
                <w:bCs/>
                <w:szCs w:val="21"/>
              </w:rPr>
            </w:pPr>
            <w:r>
              <w:rPr>
                <w:bCs/>
                <w:szCs w:val="21"/>
              </w:rPr>
              <w:t>蒋力帅</w:t>
            </w:r>
            <w:r>
              <w:rPr>
                <w:rFonts w:hint="eastAsia"/>
                <w:bCs/>
                <w:szCs w:val="21"/>
              </w:rPr>
              <w:t>；</w:t>
            </w:r>
            <w:r>
              <w:rPr>
                <w:bCs/>
                <w:szCs w:val="21"/>
              </w:rPr>
              <w:t>谭云亮</w:t>
            </w:r>
            <w:r>
              <w:rPr>
                <w:rFonts w:hint="eastAsia"/>
                <w:bCs/>
                <w:szCs w:val="21"/>
              </w:rPr>
              <w:t>；</w:t>
            </w:r>
            <w:r>
              <w:rPr>
                <w:bCs/>
                <w:szCs w:val="21"/>
              </w:rPr>
              <w:t>宁建国</w:t>
            </w:r>
          </w:p>
        </w:tc>
        <w:tc>
          <w:tcPr>
            <w:tcW w:w="1369" w:type="dxa"/>
            <w:shd w:val="clear" w:color="auto" w:fill="auto"/>
            <w:vAlign w:val="center"/>
          </w:tcPr>
          <w:p>
            <w:pPr>
              <w:jc w:val="center"/>
              <w:rPr>
                <w:bCs/>
                <w:szCs w:val="21"/>
              </w:rPr>
            </w:pPr>
            <w:r>
              <w:rPr>
                <w:bCs/>
                <w:szCs w:val="21"/>
              </w:rPr>
              <w:t>山东科技大学</w:t>
            </w:r>
          </w:p>
        </w:tc>
        <w:tc>
          <w:tcPr>
            <w:tcW w:w="1446" w:type="dxa"/>
            <w:shd w:val="clear" w:color="auto" w:fill="auto"/>
            <w:vAlign w:val="center"/>
          </w:tcPr>
          <w:p>
            <w:pPr>
              <w:jc w:val="center"/>
              <w:rPr>
                <w:bCs/>
                <w:szCs w:val="21"/>
              </w:rPr>
            </w:pPr>
            <w:r>
              <w:rPr>
                <w:bCs/>
                <w:szCs w:val="21"/>
              </w:rPr>
              <w:t>ZL</w:t>
            </w:r>
            <w:r>
              <w:rPr>
                <w:rFonts w:hint="eastAsia"/>
                <w:bCs/>
                <w:szCs w:val="21"/>
              </w:rPr>
              <w:t>201510923690.2</w:t>
            </w:r>
          </w:p>
        </w:tc>
        <w:tc>
          <w:tcPr>
            <w:tcW w:w="1236" w:type="dxa"/>
            <w:shd w:val="clear" w:color="auto" w:fill="auto"/>
            <w:vAlign w:val="center"/>
          </w:tcPr>
          <w:p>
            <w:pPr>
              <w:jc w:val="center"/>
              <w:rPr>
                <w:bCs/>
                <w:szCs w:val="21"/>
              </w:rPr>
            </w:pPr>
            <w:r>
              <w:rPr>
                <w:rFonts w:hint="eastAsia"/>
                <w:bCs/>
                <w:szCs w:val="21"/>
              </w:rPr>
              <w:t>2018.05.18</w:t>
            </w:r>
          </w:p>
        </w:tc>
        <w:tc>
          <w:tcPr>
            <w:tcW w:w="1446" w:type="dxa"/>
            <w:shd w:val="clear" w:color="auto" w:fill="auto"/>
            <w:vAlign w:val="center"/>
          </w:tcPr>
          <w:p>
            <w:pPr>
              <w:jc w:val="center"/>
              <w:rPr>
                <w:bCs/>
              </w:rPr>
            </w:pPr>
            <w:r>
              <w:rPr>
                <w:rFonts w:hint="eastAsia"/>
                <w:bCs/>
              </w:rPr>
              <w:t>1.中国</w:t>
            </w:r>
          </w:p>
        </w:tc>
        <w:tc>
          <w:tcPr>
            <w:tcW w:w="1269" w:type="dxa"/>
            <w:shd w:val="clear" w:color="auto" w:fill="auto"/>
            <w:vAlign w:val="center"/>
          </w:tcPr>
          <w:p>
            <w:pPr>
              <w:jc w:val="center"/>
              <w:rPr>
                <w:bCs/>
              </w:rPr>
            </w:pPr>
            <w:r>
              <w:rPr>
                <w:bCs/>
              </w:rPr>
              <w:t>有效</w:t>
            </w:r>
          </w:p>
        </w:tc>
        <w:tc>
          <w:tcPr>
            <w:tcW w:w="1269" w:type="dxa"/>
            <w:shd w:val="clear" w:color="auto" w:fill="auto"/>
            <w:vAlign w:val="center"/>
          </w:tcPr>
          <w:p>
            <w:pPr>
              <w:jc w:val="center"/>
              <w:rPr>
                <w:bCs/>
              </w:rPr>
            </w:pPr>
            <w:r>
              <w:rPr>
                <w:bCs/>
              </w:rPr>
              <w:t>附件</w:t>
            </w:r>
            <w:r>
              <w:rPr>
                <w:rFonts w:hint="eastAsia"/>
                <w:bCs/>
              </w:rPr>
              <w:t>1</w:t>
            </w:r>
          </w:p>
        </w:tc>
        <w:tc>
          <w:tcPr>
            <w:tcW w:w="1269" w:type="dxa"/>
            <w:vAlign w:val="center"/>
          </w:tcPr>
          <w:p>
            <w:pPr>
              <w:jc w:val="center"/>
              <w:rPr>
                <w:bCs/>
              </w:rPr>
            </w:pPr>
            <w:r>
              <w:rPr>
                <w:bCs/>
              </w:rPr>
              <w:t>是</w:t>
            </w:r>
          </w:p>
        </w:tc>
        <w:tc>
          <w:tcPr>
            <w:tcW w:w="1269" w:type="dxa"/>
            <w:vAlign w:val="center"/>
          </w:tcPr>
          <w:p>
            <w:pPr>
              <w:jc w:val="center"/>
              <w:rPr>
                <w:bCs/>
              </w:rPr>
            </w:pPr>
            <w:r>
              <w:rPr>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2</w:t>
            </w:r>
          </w:p>
        </w:tc>
        <w:tc>
          <w:tcPr>
            <w:tcW w:w="2958" w:type="dxa"/>
            <w:shd w:val="clear" w:color="auto" w:fill="auto"/>
            <w:vAlign w:val="center"/>
          </w:tcPr>
          <w:p>
            <w:pPr>
              <w:jc w:val="center"/>
              <w:rPr>
                <w:bCs/>
                <w:szCs w:val="21"/>
              </w:rPr>
            </w:pPr>
            <w:r>
              <w:rPr>
                <w:rFonts w:hint="eastAsia"/>
                <w:bCs/>
                <w:szCs w:val="21"/>
              </w:rPr>
              <w:t>一种高瓦斯采场坚硬顶板垮冒致燃瓦斯的防治方法</w:t>
            </w:r>
          </w:p>
        </w:tc>
        <w:tc>
          <w:tcPr>
            <w:tcW w:w="1706" w:type="dxa"/>
            <w:shd w:val="clear" w:color="auto" w:fill="auto"/>
            <w:vAlign w:val="center"/>
          </w:tcPr>
          <w:p>
            <w:pPr>
              <w:jc w:val="center"/>
              <w:rPr>
                <w:bCs/>
                <w:szCs w:val="21"/>
              </w:rPr>
            </w:pPr>
            <w:r>
              <w:rPr>
                <w:bCs/>
                <w:szCs w:val="21"/>
              </w:rPr>
              <w:t>发明专利权</w:t>
            </w:r>
          </w:p>
        </w:tc>
        <w:tc>
          <w:tcPr>
            <w:tcW w:w="1363" w:type="dxa"/>
            <w:shd w:val="clear" w:color="auto" w:fill="auto"/>
            <w:vAlign w:val="center"/>
          </w:tcPr>
          <w:p>
            <w:pPr>
              <w:jc w:val="center"/>
              <w:rPr>
                <w:bCs/>
                <w:szCs w:val="21"/>
              </w:rPr>
            </w:pPr>
            <w:r>
              <w:rPr>
                <w:bCs/>
                <w:szCs w:val="21"/>
              </w:rPr>
              <w:t>秦广鹏</w:t>
            </w:r>
            <w:r>
              <w:rPr>
                <w:rFonts w:hint="eastAsia"/>
                <w:bCs/>
                <w:szCs w:val="21"/>
              </w:rPr>
              <w:t>；</w:t>
            </w:r>
            <w:r>
              <w:rPr>
                <w:bCs/>
                <w:szCs w:val="21"/>
              </w:rPr>
              <w:t>蒋金泉</w:t>
            </w:r>
            <w:r>
              <w:rPr>
                <w:rFonts w:hint="eastAsia"/>
                <w:bCs/>
                <w:szCs w:val="21"/>
              </w:rPr>
              <w:t>；</w:t>
            </w:r>
            <w:r>
              <w:rPr>
                <w:bCs/>
                <w:szCs w:val="21"/>
              </w:rPr>
              <w:t>曹静</w:t>
            </w:r>
            <w:r>
              <w:rPr>
                <w:rFonts w:hint="eastAsia"/>
                <w:bCs/>
                <w:szCs w:val="21"/>
              </w:rPr>
              <w:t>；</w:t>
            </w:r>
            <w:r>
              <w:rPr>
                <w:bCs/>
                <w:szCs w:val="21"/>
              </w:rPr>
              <w:t>张培鹏</w:t>
            </w:r>
          </w:p>
        </w:tc>
        <w:tc>
          <w:tcPr>
            <w:tcW w:w="1369" w:type="dxa"/>
            <w:shd w:val="clear" w:color="auto" w:fill="auto"/>
            <w:vAlign w:val="center"/>
          </w:tcPr>
          <w:p>
            <w:pPr>
              <w:jc w:val="center"/>
              <w:rPr>
                <w:bCs/>
                <w:szCs w:val="21"/>
              </w:rPr>
            </w:pPr>
            <w:r>
              <w:rPr>
                <w:bCs/>
                <w:szCs w:val="21"/>
              </w:rPr>
              <w:t>山东科技大学</w:t>
            </w:r>
          </w:p>
        </w:tc>
        <w:tc>
          <w:tcPr>
            <w:tcW w:w="1446" w:type="dxa"/>
            <w:shd w:val="clear" w:color="auto" w:fill="auto"/>
            <w:vAlign w:val="center"/>
          </w:tcPr>
          <w:p>
            <w:pPr>
              <w:jc w:val="center"/>
              <w:rPr>
                <w:bCs/>
                <w:szCs w:val="21"/>
              </w:rPr>
            </w:pPr>
            <w:r>
              <w:rPr>
                <w:bCs/>
                <w:szCs w:val="21"/>
              </w:rPr>
              <w:t xml:space="preserve">ZL201510019854.9 </w:t>
            </w:r>
          </w:p>
        </w:tc>
        <w:tc>
          <w:tcPr>
            <w:tcW w:w="1236" w:type="dxa"/>
            <w:shd w:val="clear" w:color="auto" w:fill="auto"/>
            <w:vAlign w:val="center"/>
          </w:tcPr>
          <w:p>
            <w:pPr>
              <w:jc w:val="center"/>
              <w:rPr>
                <w:bCs/>
                <w:szCs w:val="21"/>
              </w:rPr>
            </w:pPr>
            <w:r>
              <w:rPr>
                <w:bCs/>
                <w:szCs w:val="21"/>
              </w:rPr>
              <w:t>2016.09.</w:t>
            </w:r>
            <w:r>
              <w:rPr>
                <w:rFonts w:hint="eastAsia"/>
                <w:bCs/>
                <w:szCs w:val="21"/>
              </w:rPr>
              <w:t>14</w:t>
            </w:r>
          </w:p>
        </w:tc>
        <w:tc>
          <w:tcPr>
            <w:tcW w:w="1446" w:type="dxa"/>
            <w:shd w:val="clear" w:color="auto" w:fill="auto"/>
            <w:vAlign w:val="center"/>
          </w:tcPr>
          <w:p>
            <w:pPr>
              <w:jc w:val="center"/>
              <w:rPr>
                <w:bCs/>
                <w:szCs w:val="21"/>
              </w:rPr>
            </w:pPr>
            <w:r>
              <w:rPr>
                <w:bCs/>
                <w:szCs w:val="21"/>
              </w:rPr>
              <w:t>1.中国</w:t>
            </w:r>
          </w:p>
        </w:tc>
        <w:tc>
          <w:tcPr>
            <w:tcW w:w="1269" w:type="dxa"/>
            <w:shd w:val="clear" w:color="auto" w:fill="auto"/>
            <w:vAlign w:val="center"/>
          </w:tcPr>
          <w:p>
            <w:pPr>
              <w:jc w:val="center"/>
              <w:rPr>
                <w:bCs/>
                <w:szCs w:val="21"/>
              </w:rPr>
            </w:pPr>
            <w:r>
              <w:rPr>
                <w:bCs/>
                <w:szCs w:val="21"/>
              </w:rPr>
              <w:t>有效</w:t>
            </w:r>
          </w:p>
        </w:tc>
        <w:tc>
          <w:tcPr>
            <w:tcW w:w="1269" w:type="dxa"/>
            <w:shd w:val="clear" w:color="auto" w:fill="auto"/>
            <w:vAlign w:val="center"/>
          </w:tcPr>
          <w:p>
            <w:pPr>
              <w:jc w:val="center"/>
              <w:rPr>
                <w:bCs/>
                <w:szCs w:val="21"/>
              </w:rPr>
            </w:pPr>
            <w:r>
              <w:rPr>
                <w:bCs/>
                <w:szCs w:val="21"/>
              </w:rPr>
              <w:t>附件</w:t>
            </w:r>
            <w:r>
              <w:rPr>
                <w:rFonts w:hint="eastAsia"/>
                <w:bCs/>
                <w:szCs w:val="21"/>
              </w:rPr>
              <w:t>2</w:t>
            </w:r>
          </w:p>
        </w:tc>
        <w:tc>
          <w:tcPr>
            <w:tcW w:w="1269" w:type="dxa"/>
            <w:vAlign w:val="center"/>
          </w:tcPr>
          <w:p>
            <w:pPr>
              <w:jc w:val="center"/>
              <w:rPr>
                <w:bCs/>
                <w:szCs w:val="21"/>
              </w:rPr>
            </w:pPr>
            <w:r>
              <w:rPr>
                <w:bCs/>
                <w:szCs w:val="21"/>
              </w:rPr>
              <w:t>是</w:t>
            </w:r>
          </w:p>
        </w:tc>
        <w:tc>
          <w:tcPr>
            <w:tcW w:w="1269" w:type="dxa"/>
            <w:vAlign w:val="center"/>
          </w:tcPr>
          <w:p>
            <w:pPr>
              <w:jc w:val="center"/>
              <w:rPr>
                <w:bCs/>
                <w:szCs w:val="21"/>
              </w:rPr>
            </w:pPr>
            <w:r>
              <w:rPr>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jc w:val="center"/>
        </w:trPr>
        <w:tc>
          <w:tcPr>
            <w:tcW w:w="481" w:type="dxa"/>
            <w:shd w:val="clear" w:color="auto" w:fill="auto"/>
            <w:vAlign w:val="center"/>
          </w:tcPr>
          <w:p>
            <w:pPr>
              <w:jc w:val="center"/>
              <w:rPr>
                <w:bCs/>
              </w:rPr>
            </w:pPr>
            <w:r>
              <w:rPr>
                <w:rFonts w:hint="eastAsia"/>
                <w:bCs/>
              </w:rPr>
              <w:t>3</w:t>
            </w:r>
          </w:p>
        </w:tc>
        <w:tc>
          <w:tcPr>
            <w:tcW w:w="2958" w:type="dxa"/>
            <w:shd w:val="clear" w:color="auto" w:fill="auto"/>
            <w:vAlign w:val="center"/>
          </w:tcPr>
          <w:p>
            <w:pPr>
              <w:jc w:val="center"/>
              <w:rPr>
                <w:bCs/>
                <w:szCs w:val="21"/>
              </w:rPr>
            </w:pPr>
            <w:r>
              <w:rPr>
                <w:rFonts w:hint="eastAsia"/>
                <w:bCs/>
                <w:szCs w:val="21"/>
              </w:rPr>
              <w:t xml:space="preserve">连续作业可变截面式临时支护支架及其操作方法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 xml:space="preserve">马长青；刘登彪；蒋金泉；秦广鹏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ZL201610128062.X </w:t>
            </w:r>
          </w:p>
        </w:tc>
        <w:tc>
          <w:tcPr>
            <w:tcW w:w="1236" w:type="dxa"/>
            <w:shd w:val="clear" w:color="auto" w:fill="auto"/>
            <w:vAlign w:val="center"/>
          </w:tcPr>
          <w:p>
            <w:pPr>
              <w:jc w:val="center"/>
              <w:rPr>
                <w:bCs/>
                <w:szCs w:val="21"/>
              </w:rPr>
            </w:pPr>
            <w:r>
              <w:rPr>
                <w:rFonts w:hint="eastAsia"/>
                <w:bCs/>
                <w:szCs w:val="21"/>
              </w:rPr>
              <w:t>2017.12.26</w:t>
            </w:r>
          </w:p>
        </w:tc>
        <w:tc>
          <w:tcPr>
            <w:tcW w:w="1446" w:type="dxa"/>
            <w:shd w:val="clear" w:color="auto" w:fill="auto"/>
            <w:vAlign w:val="center"/>
          </w:tcPr>
          <w:p>
            <w:pPr>
              <w:jc w:val="center"/>
              <w:rPr>
                <w:bCs/>
              </w:rPr>
            </w:pPr>
            <w:r>
              <w:rPr>
                <w:rFonts w:hint="eastAsia"/>
                <w:bCs/>
                <w:szCs w:val="21"/>
              </w:rPr>
              <w:t>1.中国</w:t>
            </w:r>
          </w:p>
        </w:tc>
        <w:tc>
          <w:tcPr>
            <w:tcW w:w="1269" w:type="dxa"/>
            <w:shd w:val="clear" w:color="auto" w:fill="auto"/>
            <w:vAlign w:val="center"/>
          </w:tcPr>
          <w:p>
            <w:pPr>
              <w:jc w:val="center"/>
              <w:rPr>
                <w:bCs/>
              </w:rPr>
            </w:pPr>
            <w:r>
              <w:rPr>
                <w:rFonts w:hint="eastAsia"/>
                <w:bCs/>
                <w:szCs w:val="21"/>
              </w:rPr>
              <w:t>无效</w:t>
            </w:r>
          </w:p>
        </w:tc>
        <w:tc>
          <w:tcPr>
            <w:tcW w:w="1269" w:type="dxa"/>
            <w:shd w:val="clear" w:color="auto" w:fill="auto"/>
            <w:vAlign w:val="center"/>
          </w:tcPr>
          <w:p>
            <w:pPr>
              <w:jc w:val="center"/>
              <w:rPr>
                <w:rFonts w:hint="eastAsia" w:eastAsia="宋体"/>
                <w:bCs/>
                <w:lang w:eastAsia="zh-CN"/>
              </w:rPr>
            </w:pPr>
            <w:r>
              <w:rPr>
                <w:rFonts w:hint="eastAsia"/>
                <w:bCs/>
                <w:szCs w:val="21"/>
              </w:rPr>
              <w:t>附件</w:t>
            </w:r>
            <w:r>
              <w:rPr>
                <w:rFonts w:hint="eastAsia"/>
                <w:bCs/>
                <w:szCs w:val="21"/>
                <w:lang w:val="en-US" w:eastAsia="zh-CN"/>
              </w:rPr>
              <w:t>3</w:t>
            </w:r>
          </w:p>
        </w:tc>
        <w:tc>
          <w:tcPr>
            <w:tcW w:w="1269" w:type="dxa"/>
            <w:vAlign w:val="center"/>
          </w:tcPr>
          <w:p>
            <w:pPr>
              <w:jc w:val="center"/>
              <w:rPr>
                <w:bCs/>
              </w:rPr>
            </w:pPr>
            <w:r>
              <w:rPr>
                <w:rFonts w:hint="eastAsia"/>
                <w:bCs/>
                <w:szCs w:val="21"/>
                <w:lang w:eastAsia="zh-CN"/>
              </w:rPr>
              <w:t>是</w:t>
            </w:r>
          </w:p>
        </w:tc>
        <w:tc>
          <w:tcPr>
            <w:tcW w:w="1269" w:type="dxa"/>
            <w:vAlign w:val="center"/>
          </w:tcPr>
          <w:p>
            <w:pPr>
              <w:jc w:val="center"/>
              <w:rPr>
                <w:bCs/>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4</w:t>
            </w:r>
          </w:p>
        </w:tc>
        <w:tc>
          <w:tcPr>
            <w:tcW w:w="2958" w:type="dxa"/>
            <w:shd w:val="clear" w:color="auto" w:fill="auto"/>
            <w:vAlign w:val="center"/>
          </w:tcPr>
          <w:p>
            <w:pPr>
              <w:jc w:val="center"/>
              <w:rPr>
                <w:bCs/>
                <w:szCs w:val="21"/>
              </w:rPr>
            </w:pPr>
            <w:r>
              <w:rPr>
                <w:rFonts w:hint="eastAsia"/>
                <w:bCs/>
                <w:szCs w:val="21"/>
              </w:rPr>
              <w:t xml:space="preserve">可模拟不同厚度基本顶的采场矿压机械模拟试验台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 xml:space="preserve">孔朋；蒋金泉；许斌；马富武；武泉森；高琳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ZL201510379053.3 </w:t>
            </w:r>
          </w:p>
        </w:tc>
        <w:tc>
          <w:tcPr>
            <w:tcW w:w="1236" w:type="dxa"/>
            <w:shd w:val="clear" w:color="auto" w:fill="auto"/>
            <w:vAlign w:val="center"/>
          </w:tcPr>
          <w:p>
            <w:pPr>
              <w:jc w:val="center"/>
              <w:rPr>
                <w:bCs/>
                <w:szCs w:val="21"/>
              </w:rPr>
            </w:pPr>
            <w:r>
              <w:rPr>
                <w:rFonts w:hint="eastAsia"/>
                <w:bCs/>
                <w:szCs w:val="21"/>
              </w:rPr>
              <w:t>2018.04.10</w:t>
            </w:r>
          </w:p>
        </w:tc>
        <w:tc>
          <w:tcPr>
            <w:tcW w:w="1446" w:type="dxa"/>
            <w:shd w:val="clear" w:color="auto" w:fill="auto"/>
            <w:vAlign w:val="center"/>
          </w:tcPr>
          <w:p>
            <w:pPr>
              <w:jc w:val="center"/>
              <w:rPr>
                <w:bCs/>
                <w:szCs w:val="21"/>
              </w:rPr>
            </w:pPr>
            <w:r>
              <w:rPr>
                <w:rFonts w:hint="eastAsia"/>
                <w:bCs/>
                <w:szCs w:val="21"/>
              </w:rPr>
              <w:t>1.中国</w:t>
            </w:r>
          </w:p>
        </w:tc>
        <w:tc>
          <w:tcPr>
            <w:tcW w:w="1269" w:type="dxa"/>
            <w:shd w:val="clear" w:color="auto" w:fill="auto"/>
            <w:vAlign w:val="center"/>
          </w:tcPr>
          <w:p>
            <w:pPr>
              <w:jc w:val="center"/>
              <w:rPr>
                <w:bCs/>
                <w:szCs w:val="21"/>
              </w:rPr>
            </w:pPr>
            <w:r>
              <w:rPr>
                <w:rFonts w:hint="eastAsia"/>
                <w:bCs/>
                <w:szCs w:val="21"/>
              </w:rPr>
              <w:t>有效</w:t>
            </w:r>
          </w:p>
        </w:tc>
        <w:tc>
          <w:tcPr>
            <w:tcW w:w="1269" w:type="dxa"/>
            <w:shd w:val="clear" w:color="auto" w:fill="auto"/>
            <w:vAlign w:val="center"/>
          </w:tcPr>
          <w:p>
            <w:pPr>
              <w:jc w:val="center"/>
              <w:rPr>
                <w:bCs/>
                <w:szCs w:val="21"/>
              </w:rPr>
            </w:pPr>
            <w:r>
              <w:rPr>
                <w:rFonts w:hint="eastAsia"/>
                <w:bCs/>
                <w:szCs w:val="21"/>
              </w:rPr>
              <w:t>附件4</w:t>
            </w:r>
          </w:p>
        </w:tc>
        <w:tc>
          <w:tcPr>
            <w:tcW w:w="1269" w:type="dxa"/>
            <w:vAlign w:val="center"/>
          </w:tcPr>
          <w:p>
            <w:pPr>
              <w:jc w:val="center"/>
              <w:rPr>
                <w:bCs/>
                <w:szCs w:val="21"/>
              </w:rPr>
            </w:pPr>
            <w:r>
              <w:rPr>
                <w:rFonts w:hint="eastAsia"/>
                <w:bCs/>
                <w:szCs w:val="21"/>
              </w:rPr>
              <w:t>否</w:t>
            </w:r>
          </w:p>
        </w:tc>
        <w:tc>
          <w:tcPr>
            <w:tcW w:w="1269" w:type="dxa"/>
            <w:vAlign w:val="center"/>
          </w:tcPr>
          <w:p>
            <w:pPr>
              <w:jc w:val="center"/>
              <w:rPr>
                <w:bCs/>
                <w:szCs w:val="21"/>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5</w:t>
            </w:r>
          </w:p>
        </w:tc>
        <w:tc>
          <w:tcPr>
            <w:tcW w:w="2958" w:type="dxa"/>
            <w:shd w:val="clear" w:color="auto" w:fill="auto"/>
            <w:vAlign w:val="center"/>
          </w:tcPr>
          <w:p>
            <w:pPr>
              <w:jc w:val="center"/>
              <w:rPr>
                <w:bCs/>
                <w:szCs w:val="21"/>
                <w:highlight w:val="yellow"/>
              </w:rPr>
            </w:pPr>
            <w:r>
              <w:rPr>
                <w:rFonts w:hint="eastAsia"/>
                <w:bCs/>
                <w:szCs w:val="21"/>
              </w:rPr>
              <w:t xml:space="preserve">一种沿空留巷轻质高强混凝土砌块墙体及其施工工艺  </w:t>
            </w:r>
          </w:p>
        </w:tc>
        <w:tc>
          <w:tcPr>
            <w:tcW w:w="1706" w:type="dxa"/>
            <w:shd w:val="clear" w:color="auto" w:fill="auto"/>
            <w:vAlign w:val="center"/>
          </w:tcPr>
          <w:p>
            <w:pPr>
              <w:jc w:val="center"/>
              <w:rPr>
                <w:bCs/>
                <w:szCs w:val="21"/>
              </w:rPr>
            </w:pPr>
            <w:r>
              <w:rPr>
                <w:bCs/>
                <w:szCs w:val="21"/>
              </w:rPr>
              <w:t>发明专利</w:t>
            </w:r>
            <w:r>
              <w:rPr>
                <w:bCs/>
              </w:rPr>
              <w:t>权</w:t>
            </w:r>
          </w:p>
        </w:tc>
        <w:tc>
          <w:tcPr>
            <w:tcW w:w="1363" w:type="dxa"/>
            <w:shd w:val="clear" w:color="auto" w:fill="auto"/>
            <w:vAlign w:val="center"/>
          </w:tcPr>
          <w:p>
            <w:pPr>
              <w:jc w:val="center"/>
              <w:rPr>
                <w:bCs/>
                <w:szCs w:val="21"/>
              </w:rPr>
            </w:pPr>
            <w:r>
              <w:rPr>
                <w:rFonts w:hint="eastAsia"/>
                <w:bCs/>
                <w:szCs w:val="21"/>
              </w:rPr>
              <w:t>李洪；代进</w:t>
            </w:r>
          </w:p>
        </w:tc>
        <w:tc>
          <w:tcPr>
            <w:tcW w:w="1369" w:type="dxa"/>
            <w:shd w:val="clear" w:color="auto" w:fill="auto"/>
            <w:vAlign w:val="center"/>
          </w:tcPr>
          <w:p>
            <w:pPr>
              <w:jc w:val="center"/>
              <w:rPr>
                <w:bCs/>
                <w:color w:val="FF0000"/>
                <w:szCs w:val="21"/>
              </w:rPr>
            </w:pPr>
            <w:r>
              <w:rPr>
                <w:rFonts w:hint="eastAsia"/>
                <w:bCs/>
                <w:szCs w:val="21"/>
              </w:rPr>
              <w:t>山东科技大学</w:t>
            </w:r>
            <w:r>
              <w:rPr>
                <w:rFonts w:hint="eastAsia"/>
                <w:bCs/>
                <w:color w:val="FF0000"/>
                <w:szCs w:val="21"/>
              </w:rPr>
              <w:t xml:space="preserve"> </w:t>
            </w:r>
          </w:p>
        </w:tc>
        <w:tc>
          <w:tcPr>
            <w:tcW w:w="1446" w:type="dxa"/>
            <w:shd w:val="clear" w:color="auto" w:fill="auto"/>
            <w:vAlign w:val="center"/>
          </w:tcPr>
          <w:p>
            <w:pPr>
              <w:jc w:val="center"/>
              <w:rPr>
                <w:bCs/>
                <w:szCs w:val="21"/>
              </w:rPr>
            </w:pPr>
            <w:r>
              <w:rPr>
                <w:rFonts w:hint="eastAsia"/>
                <w:bCs/>
                <w:szCs w:val="21"/>
              </w:rPr>
              <w:t xml:space="preserve">ZL201510173169.1 </w:t>
            </w:r>
          </w:p>
        </w:tc>
        <w:tc>
          <w:tcPr>
            <w:tcW w:w="1236" w:type="dxa"/>
            <w:shd w:val="clear" w:color="auto" w:fill="auto"/>
            <w:vAlign w:val="center"/>
          </w:tcPr>
          <w:p>
            <w:pPr>
              <w:jc w:val="center"/>
              <w:rPr>
                <w:bCs/>
                <w:szCs w:val="21"/>
              </w:rPr>
            </w:pPr>
            <w:r>
              <w:rPr>
                <w:bCs/>
                <w:szCs w:val="21"/>
              </w:rPr>
              <w:t>201</w:t>
            </w:r>
            <w:r>
              <w:rPr>
                <w:rFonts w:hint="eastAsia"/>
                <w:bCs/>
                <w:szCs w:val="21"/>
              </w:rPr>
              <w:t>9.03.06</w:t>
            </w:r>
          </w:p>
        </w:tc>
        <w:tc>
          <w:tcPr>
            <w:tcW w:w="1446" w:type="dxa"/>
            <w:shd w:val="clear" w:color="auto" w:fill="auto"/>
            <w:vAlign w:val="center"/>
          </w:tcPr>
          <w:p>
            <w:pPr>
              <w:jc w:val="center"/>
              <w:rPr>
                <w:bCs/>
              </w:rPr>
            </w:pPr>
            <w:r>
              <w:rPr>
                <w:rFonts w:ascii="宋体" w:cs="宋体"/>
                <w:bCs/>
                <w:kern w:val="0"/>
                <w:sz w:val="24"/>
              </w:rPr>
              <w:t>1.</w:t>
            </w:r>
            <w:r>
              <w:rPr>
                <w:bCs/>
              </w:rPr>
              <w:t>中国</w:t>
            </w:r>
          </w:p>
        </w:tc>
        <w:tc>
          <w:tcPr>
            <w:tcW w:w="1269" w:type="dxa"/>
            <w:shd w:val="clear" w:color="auto" w:fill="auto"/>
            <w:vAlign w:val="center"/>
          </w:tcPr>
          <w:p>
            <w:pPr>
              <w:jc w:val="center"/>
              <w:rPr>
                <w:bCs/>
              </w:rPr>
            </w:pPr>
            <w:r>
              <w:rPr>
                <w:bCs/>
              </w:rPr>
              <w:t>有效</w:t>
            </w:r>
          </w:p>
        </w:tc>
        <w:tc>
          <w:tcPr>
            <w:tcW w:w="1269" w:type="dxa"/>
            <w:shd w:val="clear" w:color="auto" w:fill="auto"/>
            <w:vAlign w:val="center"/>
          </w:tcPr>
          <w:p>
            <w:pPr>
              <w:jc w:val="center"/>
              <w:rPr>
                <w:bCs/>
              </w:rPr>
            </w:pPr>
            <w:r>
              <w:rPr>
                <w:bCs/>
              </w:rPr>
              <w:t>附件</w:t>
            </w:r>
            <w:r>
              <w:rPr>
                <w:rFonts w:hint="eastAsia"/>
                <w:bCs/>
              </w:rPr>
              <w:t>5</w:t>
            </w:r>
          </w:p>
        </w:tc>
        <w:tc>
          <w:tcPr>
            <w:tcW w:w="1269" w:type="dxa"/>
            <w:vAlign w:val="center"/>
          </w:tcPr>
          <w:p>
            <w:pPr>
              <w:jc w:val="center"/>
              <w:rPr>
                <w:bCs/>
              </w:rPr>
            </w:pPr>
            <w:r>
              <w:rPr>
                <w:bCs/>
              </w:rPr>
              <w:t>是</w:t>
            </w:r>
          </w:p>
        </w:tc>
        <w:tc>
          <w:tcPr>
            <w:tcW w:w="1269" w:type="dxa"/>
            <w:vAlign w:val="center"/>
          </w:tcPr>
          <w:p>
            <w:pPr>
              <w:jc w:val="center"/>
              <w:rPr>
                <w:bCs/>
              </w:rPr>
            </w:pPr>
            <w:r>
              <w:rPr>
                <w:bCs/>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6</w:t>
            </w:r>
          </w:p>
        </w:tc>
        <w:tc>
          <w:tcPr>
            <w:tcW w:w="2958" w:type="dxa"/>
            <w:shd w:val="clear" w:color="auto" w:fill="auto"/>
            <w:vAlign w:val="center"/>
          </w:tcPr>
          <w:p>
            <w:pPr>
              <w:jc w:val="center"/>
              <w:rPr>
                <w:bCs/>
                <w:szCs w:val="21"/>
              </w:rPr>
            </w:pPr>
            <w:r>
              <w:rPr>
                <w:rFonts w:hint="eastAsia"/>
                <w:bCs/>
                <w:szCs w:val="21"/>
              </w:rPr>
              <w:t xml:space="preserve">一种坚硬直接顶下大采高工作面沿空小煤柱巷道支护方法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 xml:space="preserve">蒋金泉；代进；王春耀；崔庆林；郑有雷；孙振中；桂兵；秦广鹏；孟庆新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ZL201410755207.X </w:t>
            </w:r>
          </w:p>
        </w:tc>
        <w:tc>
          <w:tcPr>
            <w:tcW w:w="1236" w:type="dxa"/>
            <w:shd w:val="clear" w:color="auto" w:fill="auto"/>
            <w:vAlign w:val="center"/>
          </w:tcPr>
          <w:p>
            <w:pPr>
              <w:jc w:val="center"/>
              <w:rPr>
                <w:bCs/>
                <w:szCs w:val="21"/>
              </w:rPr>
            </w:pPr>
            <w:r>
              <w:rPr>
                <w:rFonts w:hint="eastAsia"/>
                <w:bCs/>
                <w:szCs w:val="21"/>
              </w:rPr>
              <w:t>2019.03.29</w:t>
            </w:r>
          </w:p>
        </w:tc>
        <w:tc>
          <w:tcPr>
            <w:tcW w:w="1446" w:type="dxa"/>
            <w:shd w:val="clear" w:color="auto" w:fill="auto"/>
            <w:vAlign w:val="center"/>
          </w:tcPr>
          <w:p>
            <w:pPr>
              <w:jc w:val="center"/>
              <w:rPr>
                <w:bCs/>
                <w:szCs w:val="21"/>
              </w:rPr>
            </w:pPr>
            <w:r>
              <w:rPr>
                <w:rFonts w:hint="eastAsia"/>
                <w:bCs/>
                <w:szCs w:val="21"/>
              </w:rPr>
              <w:t>1.中国</w:t>
            </w:r>
          </w:p>
        </w:tc>
        <w:tc>
          <w:tcPr>
            <w:tcW w:w="1269" w:type="dxa"/>
            <w:shd w:val="clear" w:color="auto" w:fill="auto"/>
            <w:vAlign w:val="center"/>
          </w:tcPr>
          <w:p>
            <w:pPr>
              <w:jc w:val="center"/>
              <w:rPr>
                <w:bCs/>
                <w:szCs w:val="21"/>
              </w:rPr>
            </w:pPr>
            <w:r>
              <w:rPr>
                <w:rFonts w:hint="eastAsia"/>
                <w:bCs/>
                <w:szCs w:val="21"/>
              </w:rPr>
              <w:t>有效</w:t>
            </w:r>
          </w:p>
        </w:tc>
        <w:tc>
          <w:tcPr>
            <w:tcW w:w="1269" w:type="dxa"/>
            <w:shd w:val="clear" w:color="auto" w:fill="auto"/>
            <w:vAlign w:val="center"/>
          </w:tcPr>
          <w:p>
            <w:pPr>
              <w:jc w:val="center"/>
              <w:rPr>
                <w:bCs/>
                <w:szCs w:val="21"/>
              </w:rPr>
            </w:pPr>
            <w:r>
              <w:rPr>
                <w:rFonts w:hint="eastAsia"/>
                <w:bCs/>
                <w:szCs w:val="21"/>
              </w:rPr>
              <w:t>附件6</w:t>
            </w:r>
          </w:p>
        </w:tc>
        <w:tc>
          <w:tcPr>
            <w:tcW w:w="1269" w:type="dxa"/>
            <w:vAlign w:val="center"/>
          </w:tcPr>
          <w:p>
            <w:pPr>
              <w:jc w:val="center"/>
              <w:rPr>
                <w:bCs/>
                <w:szCs w:val="21"/>
              </w:rPr>
            </w:pPr>
            <w:r>
              <w:rPr>
                <w:rFonts w:hint="eastAsia"/>
                <w:bCs/>
                <w:szCs w:val="21"/>
              </w:rPr>
              <w:t>是</w:t>
            </w:r>
          </w:p>
        </w:tc>
        <w:tc>
          <w:tcPr>
            <w:tcW w:w="1269" w:type="dxa"/>
            <w:vAlign w:val="center"/>
          </w:tcPr>
          <w:p>
            <w:pPr>
              <w:jc w:val="center"/>
              <w:rPr>
                <w:bCs/>
                <w:szCs w:val="21"/>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7</w:t>
            </w:r>
          </w:p>
        </w:tc>
        <w:tc>
          <w:tcPr>
            <w:tcW w:w="2958" w:type="dxa"/>
            <w:shd w:val="clear" w:color="auto" w:fill="auto"/>
            <w:vAlign w:val="center"/>
          </w:tcPr>
          <w:p>
            <w:pPr>
              <w:jc w:val="center"/>
              <w:rPr>
                <w:bCs/>
                <w:szCs w:val="21"/>
              </w:rPr>
            </w:pPr>
            <w:r>
              <w:rPr>
                <w:rFonts w:hint="eastAsia"/>
                <w:szCs w:val="21"/>
              </w:rPr>
              <w:t xml:space="preserve">伸缩顶梁连杆式临时支护支架及支护方法  </w:t>
            </w:r>
            <w:r>
              <w:rPr>
                <w:rFonts w:hint="eastAsia"/>
                <w:bCs/>
                <w:szCs w:val="21"/>
              </w:rPr>
              <w:t xml:space="preserve">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马长青；蒋金泉；刘登彪；秦广鹏</w:t>
            </w:r>
          </w:p>
        </w:tc>
        <w:tc>
          <w:tcPr>
            <w:tcW w:w="1369" w:type="dxa"/>
            <w:shd w:val="clear" w:color="auto" w:fill="auto"/>
            <w:vAlign w:val="center"/>
          </w:tcPr>
          <w:p>
            <w:pPr>
              <w:jc w:val="center"/>
              <w:rPr>
                <w:bCs/>
                <w:szCs w:val="21"/>
              </w:rPr>
            </w:pPr>
            <w:r>
              <w:rPr>
                <w:rFonts w:hint="eastAsia"/>
                <w:bCs/>
                <w:szCs w:val="21"/>
              </w:rPr>
              <w:t>山东科技大学</w:t>
            </w:r>
            <w:r>
              <w:rPr>
                <w:rFonts w:ascii="宋体" w:hAnsi="宋体" w:cs="宋体"/>
                <w:bCs/>
                <w:sz w:val="24"/>
              </w:rPr>
              <w:t xml:space="preserve"> </w:t>
            </w:r>
          </w:p>
        </w:tc>
        <w:tc>
          <w:tcPr>
            <w:tcW w:w="1446" w:type="dxa"/>
            <w:shd w:val="clear" w:color="auto" w:fill="auto"/>
            <w:vAlign w:val="center"/>
          </w:tcPr>
          <w:p>
            <w:pPr>
              <w:jc w:val="center"/>
              <w:rPr>
                <w:bCs/>
                <w:szCs w:val="21"/>
              </w:rPr>
            </w:pPr>
            <w:r>
              <w:rPr>
                <w:rFonts w:hint="eastAsia"/>
                <w:szCs w:val="21"/>
              </w:rPr>
              <w:t xml:space="preserve">ZL201610128368.5  </w:t>
            </w:r>
          </w:p>
        </w:tc>
        <w:tc>
          <w:tcPr>
            <w:tcW w:w="1236" w:type="dxa"/>
            <w:shd w:val="clear" w:color="auto" w:fill="auto"/>
            <w:vAlign w:val="center"/>
          </w:tcPr>
          <w:p>
            <w:pPr>
              <w:jc w:val="center"/>
              <w:rPr>
                <w:bCs/>
                <w:szCs w:val="21"/>
              </w:rPr>
            </w:pPr>
            <w:r>
              <w:rPr>
                <w:rFonts w:hint="eastAsia"/>
                <w:szCs w:val="21"/>
              </w:rPr>
              <w:t>2016.</w:t>
            </w:r>
            <w:r>
              <w:rPr>
                <w:rFonts w:hint="eastAsia"/>
                <w:szCs w:val="21"/>
                <w:lang w:val="en-US" w:eastAsia="zh-CN"/>
              </w:rPr>
              <w:t>10.02</w:t>
            </w:r>
          </w:p>
        </w:tc>
        <w:tc>
          <w:tcPr>
            <w:tcW w:w="1446" w:type="dxa"/>
            <w:shd w:val="clear" w:color="auto" w:fill="auto"/>
            <w:vAlign w:val="center"/>
          </w:tcPr>
          <w:p>
            <w:pPr>
              <w:jc w:val="center"/>
              <w:rPr>
                <w:bCs/>
                <w:szCs w:val="21"/>
              </w:rPr>
            </w:pPr>
            <w:r>
              <w:rPr>
                <w:rFonts w:hint="eastAsia"/>
                <w:bCs/>
                <w:szCs w:val="21"/>
              </w:rPr>
              <w:t>1.中国</w:t>
            </w:r>
          </w:p>
        </w:tc>
        <w:tc>
          <w:tcPr>
            <w:tcW w:w="1269" w:type="dxa"/>
            <w:shd w:val="clear" w:color="auto" w:fill="auto"/>
            <w:vAlign w:val="center"/>
          </w:tcPr>
          <w:p>
            <w:pPr>
              <w:jc w:val="center"/>
              <w:rPr>
                <w:bCs/>
                <w:szCs w:val="21"/>
              </w:rPr>
            </w:pPr>
            <w:r>
              <w:rPr>
                <w:rFonts w:hint="eastAsia"/>
                <w:bCs/>
                <w:szCs w:val="21"/>
              </w:rPr>
              <w:t>有效</w:t>
            </w:r>
          </w:p>
        </w:tc>
        <w:tc>
          <w:tcPr>
            <w:tcW w:w="1269" w:type="dxa"/>
            <w:shd w:val="clear" w:color="auto" w:fill="auto"/>
            <w:vAlign w:val="center"/>
          </w:tcPr>
          <w:p>
            <w:pPr>
              <w:jc w:val="center"/>
              <w:rPr>
                <w:bCs/>
                <w:szCs w:val="21"/>
              </w:rPr>
            </w:pPr>
            <w:r>
              <w:rPr>
                <w:rFonts w:hint="eastAsia"/>
                <w:bCs/>
                <w:szCs w:val="21"/>
              </w:rPr>
              <w:t>附件7</w:t>
            </w:r>
          </w:p>
        </w:tc>
        <w:tc>
          <w:tcPr>
            <w:tcW w:w="1269" w:type="dxa"/>
            <w:vAlign w:val="center"/>
          </w:tcPr>
          <w:p>
            <w:pPr>
              <w:jc w:val="center"/>
              <w:rPr>
                <w:rFonts w:hint="eastAsia" w:eastAsia="宋体"/>
                <w:bCs/>
                <w:szCs w:val="21"/>
                <w:lang w:eastAsia="zh-CN"/>
              </w:rPr>
            </w:pPr>
            <w:r>
              <w:rPr>
                <w:rFonts w:hint="eastAsia"/>
                <w:bCs/>
                <w:szCs w:val="21"/>
                <w:lang w:eastAsia="zh-CN"/>
              </w:rPr>
              <w:t>是</w:t>
            </w:r>
          </w:p>
        </w:tc>
        <w:tc>
          <w:tcPr>
            <w:tcW w:w="1269" w:type="dxa"/>
            <w:vAlign w:val="center"/>
          </w:tcPr>
          <w:p>
            <w:pPr>
              <w:jc w:val="center"/>
              <w:rPr>
                <w:bCs/>
                <w:szCs w:val="21"/>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8</w:t>
            </w:r>
          </w:p>
        </w:tc>
        <w:tc>
          <w:tcPr>
            <w:tcW w:w="2958" w:type="dxa"/>
            <w:shd w:val="clear" w:color="auto" w:fill="auto"/>
            <w:vAlign w:val="center"/>
          </w:tcPr>
          <w:p>
            <w:pPr>
              <w:jc w:val="center"/>
              <w:rPr>
                <w:bCs/>
                <w:szCs w:val="21"/>
              </w:rPr>
            </w:pPr>
            <w:r>
              <w:rPr>
                <w:rFonts w:hint="eastAsia"/>
                <w:bCs/>
                <w:szCs w:val="21"/>
              </w:rPr>
              <w:t xml:space="preserve">支撑掩护式交错滑移临时支护支架及其支护方法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 xml:space="preserve">马长青；蒋金泉；刘登彪；秦广鹏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ZL201610128064.9 </w:t>
            </w:r>
          </w:p>
        </w:tc>
        <w:tc>
          <w:tcPr>
            <w:tcW w:w="1236" w:type="dxa"/>
            <w:shd w:val="clear" w:color="auto" w:fill="auto"/>
            <w:vAlign w:val="center"/>
          </w:tcPr>
          <w:p>
            <w:pPr>
              <w:jc w:val="center"/>
              <w:rPr>
                <w:bCs/>
                <w:szCs w:val="21"/>
              </w:rPr>
            </w:pPr>
            <w:r>
              <w:rPr>
                <w:rFonts w:hint="eastAsia"/>
                <w:bCs/>
                <w:szCs w:val="21"/>
              </w:rPr>
              <w:t>2017.12.26</w:t>
            </w:r>
          </w:p>
        </w:tc>
        <w:tc>
          <w:tcPr>
            <w:tcW w:w="1446" w:type="dxa"/>
            <w:shd w:val="clear" w:color="auto" w:fill="auto"/>
            <w:vAlign w:val="center"/>
          </w:tcPr>
          <w:p>
            <w:pPr>
              <w:jc w:val="center"/>
              <w:rPr>
                <w:bCs/>
                <w:szCs w:val="21"/>
              </w:rPr>
            </w:pPr>
            <w:r>
              <w:rPr>
                <w:rFonts w:hint="eastAsia"/>
                <w:bCs/>
                <w:szCs w:val="21"/>
              </w:rPr>
              <w:t>1.中国</w:t>
            </w:r>
          </w:p>
        </w:tc>
        <w:tc>
          <w:tcPr>
            <w:tcW w:w="1269" w:type="dxa"/>
            <w:shd w:val="clear" w:color="auto" w:fill="auto"/>
            <w:vAlign w:val="center"/>
          </w:tcPr>
          <w:p>
            <w:pPr>
              <w:jc w:val="center"/>
              <w:rPr>
                <w:bCs/>
                <w:szCs w:val="21"/>
              </w:rPr>
            </w:pPr>
            <w:r>
              <w:rPr>
                <w:rFonts w:hint="eastAsia"/>
                <w:bCs/>
                <w:szCs w:val="21"/>
              </w:rPr>
              <w:t>有效</w:t>
            </w:r>
          </w:p>
        </w:tc>
        <w:tc>
          <w:tcPr>
            <w:tcW w:w="1269" w:type="dxa"/>
            <w:shd w:val="clear" w:color="auto" w:fill="auto"/>
            <w:vAlign w:val="center"/>
          </w:tcPr>
          <w:p>
            <w:pPr>
              <w:jc w:val="center"/>
              <w:rPr>
                <w:bCs/>
                <w:szCs w:val="21"/>
              </w:rPr>
            </w:pPr>
            <w:r>
              <w:rPr>
                <w:rFonts w:hint="eastAsia"/>
                <w:bCs/>
                <w:szCs w:val="21"/>
              </w:rPr>
              <w:t>附件8</w:t>
            </w:r>
          </w:p>
        </w:tc>
        <w:tc>
          <w:tcPr>
            <w:tcW w:w="1269" w:type="dxa"/>
            <w:vAlign w:val="center"/>
          </w:tcPr>
          <w:p>
            <w:pPr>
              <w:jc w:val="center"/>
              <w:rPr>
                <w:rFonts w:hint="eastAsia" w:eastAsia="宋体"/>
                <w:bCs/>
                <w:szCs w:val="21"/>
                <w:lang w:eastAsia="zh-CN"/>
              </w:rPr>
            </w:pPr>
            <w:r>
              <w:rPr>
                <w:rFonts w:hint="eastAsia"/>
                <w:bCs/>
                <w:szCs w:val="21"/>
                <w:lang w:eastAsia="zh-CN"/>
              </w:rPr>
              <w:t>是</w:t>
            </w:r>
          </w:p>
        </w:tc>
        <w:tc>
          <w:tcPr>
            <w:tcW w:w="1269" w:type="dxa"/>
            <w:vAlign w:val="center"/>
          </w:tcPr>
          <w:p>
            <w:pPr>
              <w:jc w:val="center"/>
              <w:rPr>
                <w:bCs/>
                <w:szCs w:val="21"/>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9</w:t>
            </w:r>
          </w:p>
        </w:tc>
        <w:tc>
          <w:tcPr>
            <w:tcW w:w="2958" w:type="dxa"/>
            <w:shd w:val="clear" w:color="auto" w:fill="auto"/>
            <w:vAlign w:val="center"/>
          </w:tcPr>
          <w:p>
            <w:pPr>
              <w:jc w:val="center"/>
              <w:rPr>
                <w:bCs/>
                <w:szCs w:val="21"/>
              </w:rPr>
            </w:pPr>
            <w:r>
              <w:rPr>
                <w:rFonts w:hint="eastAsia"/>
                <w:bCs/>
                <w:szCs w:val="21"/>
              </w:rPr>
              <w:t xml:space="preserve">掘进工作面伸缩顶梁支撑式临时支护方法 </w:t>
            </w:r>
          </w:p>
        </w:tc>
        <w:tc>
          <w:tcPr>
            <w:tcW w:w="1706" w:type="dxa"/>
            <w:shd w:val="clear" w:color="auto" w:fill="auto"/>
            <w:vAlign w:val="center"/>
          </w:tcPr>
          <w:p>
            <w:pPr>
              <w:jc w:val="center"/>
              <w:rPr>
                <w:bCs/>
                <w:szCs w:val="21"/>
              </w:rPr>
            </w:pPr>
            <w:r>
              <w:rPr>
                <w:rFonts w:hint="eastAsia"/>
                <w:bCs/>
                <w:szCs w:val="21"/>
              </w:rPr>
              <w:t>发明专利权</w:t>
            </w:r>
          </w:p>
        </w:tc>
        <w:tc>
          <w:tcPr>
            <w:tcW w:w="1363" w:type="dxa"/>
            <w:shd w:val="clear" w:color="auto" w:fill="auto"/>
            <w:vAlign w:val="center"/>
          </w:tcPr>
          <w:p>
            <w:pPr>
              <w:jc w:val="center"/>
              <w:rPr>
                <w:bCs/>
                <w:szCs w:val="21"/>
              </w:rPr>
            </w:pPr>
            <w:r>
              <w:rPr>
                <w:rFonts w:hint="eastAsia"/>
                <w:bCs/>
                <w:szCs w:val="21"/>
              </w:rPr>
              <w:t xml:space="preserve">马长青；刘登彪；蒋金泉；秦广鹏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ZL201610128391.4 </w:t>
            </w:r>
          </w:p>
        </w:tc>
        <w:tc>
          <w:tcPr>
            <w:tcW w:w="1236" w:type="dxa"/>
            <w:shd w:val="clear" w:color="auto" w:fill="auto"/>
            <w:vAlign w:val="center"/>
          </w:tcPr>
          <w:p>
            <w:pPr>
              <w:jc w:val="center"/>
              <w:rPr>
                <w:bCs/>
                <w:szCs w:val="21"/>
              </w:rPr>
            </w:pPr>
            <w:r>
              <w:rPr>
                <w:rFonts w:hint="eastAsia"/>
                <w:bCs/>
                <w:szCs w:val="21"/>
              </w:rPr>
              <w:t>2018.12.04</w:t>
            </w:r>
          </w:p>
        </w:tc>
        <w:tc>
          <w:tcPr>
            <w:tcW w:w="1446" w:type="dxa"/>
            <w:shd w:val="clear" w:color="auto" w:fill="auto"/>
            <w:vAlign w:val="center"/>
          </w:tcPr>
          <w:p>
            <w:pPr>
              <w:jc w:val="center"/>
              <w:rPr>
                <w:bCs/>
                <w:szCs w:val="21"/>
              </w:rPr>
            </w:pPr>
            <w:r>
              <w:rPr>
                <w:rFonts w:hint="eastAsia"/>
                <w:bCs/>
                <w:szCs w:val="21"/>
              </w:rPr>
              <w:t>1.中国</w:t>
            </w:r>
          </w:p>
        </w:tc>
        <w:tc>
          <w:tcPr>
            <w:tcW w:w="1269" w:type="dxa"/>
            <w:shd w:val="clear" w:color="auto" w:fill="auto"/>
            <w:vAlign w:val="center"/>
          </w:tcPr>
          <w:p>
            <w:pPr>
              <w:jc w:val="center"/>
              <w:rPr>
                <w:bCs/>
                <w:szCs w:val="21"/>
              </w:rPr>
            </w:pPr>
            <w:r>
              <w:rPr>
                <w:rFonts w:hint="eastAsia"/>
                <w:bCs/>
                <w:szCs w:val="21"/>
              </w:rPr>
              <w:t>有效</w:t>
            </w:r>
          </w:p>
        </w:tc>
        <w:tc>
          <w:tcPr>
            <w:tcW w:w="1269" w:type="dxa"/>
            <w:shd w:val="clear" w:color="auto" w:fill="auto"/>
            <w:vAlign w:val="center"/>
          </w:tcPr>
          <w:p>
            <w:pPr>
              <w:jc w:val="center"/>
              <w:rPr>
                <w:bCs/>
                <w:szCs w:val="21"/>
              </w:rPr>
            </w:pPr>
            <w:r>
              <w:rPr>
                <w:rFonts w:hint="eastAsia"/>
                <w:bCs/>
                <w:szCs w:val="21"/>
              </w:rPr>
              <w:t>附件9</w:t>
            </w:r>
          </w:p>
        </w:tc>
        <w:tc>
          <w:tcPr>
            <w:tcW w:w="1269" w:type="dxa"/>
            <w:vAlign w:val="center"/>
          </w:tcPr>
          <w:p>
            <w:pPr>
              <w:jc w:val="center"/>
              <w:rPr>
                <w:rFonts w:hint="eastAsia" w:eastAsia="宋体"/>
                <w:bCs/>
                <w:szCs w:val="21"/>
                <w:lang w:eastAsia="zh-CN"/>
              </w:rPr>
            </w:pPr>
            <w:r>
              <w:rPr>
                <w:rFonts w:hint="eastAsia"/>
                <w:bCs/>
                <w:szCs w:val="21"/>
                <w:lang w:eastAsia="zh-CN"/>
              </w:rPr>
              <w:t>是</w:t>
            </w:r>
          </w:p>
        </w:tc>
        <w:tc>
          <w:tcPr>
            <w:tcW w:w="1269" w:type="dxa"/>
            <w:vAlign w:val="center"/>
          </w:tcPr>
          <w:p>
            <w:pPr>
              <w:jc w:val="center"/>
              <w:rPr>
                <w:bCs/>
                <w:szCs w:val="21"/>
              </w:rPr>
            </w:pPr>
            <w:r>
              <w:rPr>
                <w:rFonts w:hint="eastAsia"/>
                <w:bCs/>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481" w:type="dxa"/>
            <w:shd w:val="clear" w:color="auto" w:fill="auto"/>
            <w:vAlign w:val="center"/>
          </w:tcPr>
          <w:p>
            <w:pPr>
              <w:jc w:val="center"/>
              <w:rPr>
                <w:bCs/>
              </w:rPr>
            </w:pPr>
            <w:r>
              <w:rPr>
                <w:rFonts w:hint="eastAsia"/>
                <w:bCs/>
              </w:rPr>
              <w:t>10</w:t>
            </w:r>
          </w:p>
        </w:tc>
        <w:tc>
          <w:tcPr>
            <w:tcW w:w="2958" w:type="dxa"/>
            <w:shd w:val="clear" w:color="auto" w:fill="auto"/>
            <w:vAlign w:val="center"/>
          </w:tcPr>
          <w:p>
            <w:pPr>
              <w:jc w:val="center"/>
              <w:rPr>
                <w:bCs/>
                <w:szCs w:val="21"/>
              </w:rPr>
            </w:pPr>
            <w:r>
              <w:rPr>
                <w:rFonts w:hint="eastAsia"/>
                <w:bCs/>
                <w:szCs w:val="21"/>
              </w:rPr>
              <w:t>一种岩石撞击摩擦引爆瓦斯试验装置</w:t>
            </w:r>
          </w:p>
        </w:tc>
        <w:tc>
          <w:tcPr>
            <w:tcW w:w="1706" w:type="dxa"/>
            <w:shd w:val="clear" w:color="auto" w:fill="auto"/>
            <w:vAlign w:val="center"/>
          </w:tcPr>
          <w:p>
            <w:pPr>
              <w:jc w:val="center"/>
              <w:rPr>
                <w:bCs/>
                <w:szCs w:val="21"/>
              </w:rPr>
            </w:pPr>
            <w:r>
              <w:rPr>
                <w:rFonts w:hint="eastAsia"/>
                <w:bCs/>
                <w:szCs w:val="21"/>
              </w:rPr>
              <w:t>实用新型专利权</w:t>
            </w:r>
          </w:p>
        </w:tc>
        <w:tc>
          <w:tcPr>
            <w:tcW w:w="1363" w:type="dxa"/>
            <w:shd w:val="clear" w:color="auto" w:fill="auto"/>
            <w:vAlign w:val="center"/>
          </w:tcPr>
          <w:p>
            <w:pPr>
              <w:jc w:val="center"/>
              <w:rPr>
                <w:bCs/>
                <w:szCs w:val="21"/>
              </w:rPr>
            </w:pPr>
            <w:r>
              <w:rPr>
                <w:rFonts w:hint="eastAsia"/>
                <w:bCs/>
                <w:szCs w:val="21"/>
              </w:rPr>
              <w:t xml:space="preserve">秦广鹏；裴云鑫；张中腾；王超 </w:t>
            </w:r>
          </w:p>
        </w:tc>
        <w:tc>
          <w:tcPr>
            <w:tcW w:w="1369" w:type="dxa"/>
            <w:shd w:val="clear" w:color="auto" w:fill="auto"/>
            <w:vAlign w:val="center"/>
          </w:tcPr>
          <w:p>
            <w:pPr>
              <w:jc w:val="center"/>
              <w:rPr>
                <w:bCs/>
                <w:szCs w:val="21"/>
              </w:rPr>
            </w:pPr>
            <w:r>
              <w:rPr>
                <w:rFonts w:hint="eastAsia"/>
                <w:bCs/>
                <w:szCs w:val="21"/>
              </w:rPr>
              <w:t>山东科技大学</w:t>
            </w:r>
          </w:p>
        </w:tc>
        <w:tc>
          <w:tcPr>
            <w:tcW w:w="1446" w:type="dxa"/>
            <w:shd w:val="clear" w:color="auto" w:fill="auto"/>
            <w:vAlign w:val="center"/>
          </w:tcPr>
          <w:p>
            <w:pPr>
              <w:jc w:val="center"/>
              <w:rPr>
                <w:bCs/>
                <w:szCs w:val="21"/>
              </w:rPr>
            </w:pPr>
            <w:r>
              <w:rPr>
                <w:rFonts w:hint="eastAsia"/>
                <w:bCs/>
                <w:szCs w:val="21"/>
              </w:rPr>
              <w:t xml:space="preserve">ZL01720460875.9 </w:t>
            </w:r>
          </w:p>
        </w:tc>
        <w:tc>
          <w:tcPr>
            <w:tcW w:w="1236" w:type="dxa"/>
            <w:shd w:val="clear" w:color="auto" w:fill="auto"/>
            <w:vAlign w:val="center"/>
          </w:tcPr>
          <w:p>
            <w:pPr>
              <w:jc w:val="center"/>
              <w:rPr>
                <w:bCs/>
                <w:szCs w:val="21"/>
              </w:rPr>
            </w:pPr>
            <w:r>
              <w:rPr>
                <w:rFonts w:hint="eastAsia"/>
                <w:bCs/>
                <w:szCs w:val="21"/>
              </w:rPr>
              <w:t>2017.12.01</w:t>
            </w:r>
          </w:p>
        </w:tc>
        <w:tc>
          <w:tcPr>
            <w:tcW w:w="1446" w:type="dxa"/>
            <w:shd w:val="clear" w:color="auto" w:fill="auto"/>
            <w:vAlign w:val="center"/>
          </w:tcPr>
          <w:p>
            <w:pPr>
              <w:jc w:val="center"/>
              <w:rPr>
                <w:bCs/>
                <w:szCs w:val="21"/>
              </w:rPr>
            </w:pPr>
            <w:r>
              <w:rPr>
                <w:rFonts w:ascii="宋体" w:cs="宋体"/>
                <w:bCs/>
                <w:kern w:val="0"/>
                <w:sz w:val="24"/>
              </w:rPr>
              <w:t>1.</w:t>
            </w:r>
            <w:r>
              <w:rPr>
                <w:bCs/>
              </w:rPr>
              <w:t>中国</w:t>
            </w:r>
          </w:p>
        </w:tc>
        <w:tc>
          <w:tcPr>
            <w:tcW w:w="1269" w:type="dxa"/>
            <w:shd w:val="clear" w:color="auto" w:fill="auto"/>
            <w:vAlign w:val="center"/>
          </w:tcPr>
          <w:p>
            <w:pPr>
              <w:jc w:val="center"/>
              <w:rPr>
                <w:bCs/>
                <w:szCs w:val="21"/>
              </w:rPr>
            </w:pPr>
            <w:r>
              <w:rPr>
                <w:bCs/>
              </w:rPr>
              <w:t>有效</w:t>
            </w:r>
          </w:p>
        </w:tc>
        <w:tc>
          <w:tcPr>
            <w:tcW w:w="1269" w:type="dxa"/>
            <w:shd w:val="clear" w:color="auto" w:fill="auto"/>
            <w:vAlign w:val="center"/>
          </w:tcPr>
          <w:p>
            <w:pPr>
              <w:jc w:val="center"/>
              <w:rPr>
                <w:rFonts w:hint="default" w:eastAsia="宋体"/>
                <w:bCs/>
                <w:szCs w:val="21"/>
                <w:lang w:val="en-US" w:eastAsia="zh-CN"/>
              </w:rPr>
            </w:pPr>
            <w:r>
              <w:rPr>
                <w:bCs/>
              </w:rPr>
              <w:t>附件</w:t>
            </w:r>
            <w:r>
              <w:rPr>
                <w:rFonts w:hint="eastAsia"/>
                <w:bCs/>
                <w:lang w:val="en-US" w:eastAsia="zh-CN"/>
              </w:rPr>
              <w:t>10</w:t>
            </w:r>
          </w:p>
        </w:tc>
        <w:tc>
          <w:tcPr>
            <w:tcW w:w="1269" w:type="dxa"/>
            <w:vAlign w:val="center"/>
          </w:tcPr>
          <w:p>
            <w:pPr>
              <w:jc w:val="center"/>
              <w:rPr>
                <w:rFonts w:hint="eastAsia" w:eastAsia="宋体"/>
                <w:bCs/>
                <w:szCs w:val="21"/>
                <w:lang w:eastAsia="zh-CN"/>
              </w:rPr>
            </w:pPr>
            <w:r>
              <w:rPr>
                <w:bCs/>
              </w:rPr>
              <w:t>是</w:t>
            </w:r>
          </w:p>
        </w:tc>
        <w:tc>
          <w:tcPr>
            <w:tcW w:w="1269" w:type="dxa"/>
            <w:vAlign w:val="center"/>
          </w:tcPr>
          <w:p>
            <w:pPr>
              <w:jc w:val="center"/>
              <w:rPr>
                <w:rFonts w:hint="eastAsia"/>
                <w:bCs/>
                <w:szCs w:val="21"/>
              </w:rPr>
            </w:pPr>
            <w:r>
              <w:rPr>
                <w:bCs/>
              </w:rPr>
              <w:t>是</w:t>
            </w:r>
          </w:p>
        </w:tc>
      </w:tr>
    </w:tbl>
    <w:p>
      <w:pPr>
        <w:snapToGrid w:val="0"/>
        <w:spacing w:line="360" w:lineRule="auto"/>
        <w:rPr>
          <w:rStyle w:val="9"/>
          <w:rFonts w:hAnsiTheme="minorEastAsia" w:eastAsiaTheme="minorEastAsia"/>
          <w:bCs w:val="0"/>
          <w:color w:val="000000" w:themeColor="text1"/>
          <w:sz w:val="24"/>
          <w:szCs w:val="32"/>
        </w:rPr>
      </w:pPr>
    </w:p>
    <w:p>
      <w:pPr>
        <w:snapToGrid w:val="0"/>
        <w:spacing w:line="360" w:lineRule="auto"/>
        <w:rPr>
          <w:rFonts w:hAnsi="宋体"/>
          <w:sz w:val="24"/>
        </w:rPr>
      </w:pPr>
    </w:p>
    <w:p>
      <w:pPr>
        <w:snapToGrid w:val="0"/>
        <w:spacing w:line="360" w:lineRule="auto"/>
        <w:rPr>
          <w:rFonts w:hAnsi="宋体"/>
          <w:sz w:val="24"/>
        </w:rPr>
        <w:sectPr>
          <w:pgSz w:w="16838" w:h="11906" w:orient="landscape"/>
          <w:pgMar w:top="1800" w:right="1440" w:bottom="1800" w:left="1440" w:header="851" w:footer="992" w:gutter="0"/>
          <w:cols w:space="425" w:num="1"/>
          <w:docGrid w:type="lines" w:linePitch="312" w:charSpace="0"/>
        </w:sectPr>
      </w:pP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六、主要完成人情况</w:t>
      </w:r>
    </w:p>
    <w:p>
      <w:pPr>
        <w:adjustRightInd w:val="0"/>
        <w:snapToGrid w:val="0"/>
        <w:spacing w:line="360" w:lineRule="auto"/>
        <w:rPr>
          <w:rFonts w:hAnsi="宋体"/>
          <w:b/>
          <w:sz w:val="24"/>
        </w:rPr>
      </w:pPr>
      <w:r>
        <w:rPr>
          <w:rFonts w:hint="eastAsia" w:hAnsi="宋体"/>
          <w:b/>
          <w:sz w:val="24"/>
        </w:rPr>
        <w:t>1、姓名：王普</w:t>
      </w:r>
    </w:p>
    <w:p>
      <w:pPr>
        <w:adjustRightInd w:val="0"/>
        <w:snapToGrid w:val="0"/>
        <w:spacing w:line="360" w:lineRule="auto"/>
        <w:ind w:firstLine="480" w:firstLineChars="200"/>
        <w:rPr>
          <w:rFonts w:hAnsi="宋体"/>
          <w:sz w:val="24"/>
        </w:rPr>
      </w:pPr>
      <w:r>
        <w:rPr>
          <w:rFonts w:hint="eastAsia" w:hAnsi="宋体"/>
          <w:sz w:val="24"/>
        </w:rPr>
        <w:t>排名：1</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本项目的主要负责人，统筹项目整体，制定了研究目标，确定了主要研究方法和技术路线，对创新点1和创新点2做出了突出贡献；构建了坚硬厚层顶板Winkler基础正交梁模型，理论预测了其破断步距；建立了考虑弹性基础效应的最大离层空间体积预测模型，得到了坚硬厚层顶板下最大离层空间体积；分析了离层空间形成机理及条件，揭示了离层空间时空演化和扩展规律，提出了离层空间演化过程的确定方法，为后续坚硬顶板破断运移致灾机理及其防治提供了坚实的理论基础。</w:t>
      </w:r>
    </w:p>
    <w:p>
      <w:pPr>
        <w:adjustRightInd w:val="0"/>
        <w:snapToGrid w:val="0"/>
        <w:spacing w:line="360" w:lineRule="auto"/>
        <w:rPr>
          <w:rFonts w:hAnsi="宋体"/>
          <w:b/>
          <w:sz w:val="24"/>
        </w:rPr>
      </w:pPr>
      <w:r>
        <w:rPr>
          <w:rFonts w:hint="eastAsia" w:hAnsi="宋体"/>
          <w:b/>
          <w:sz w:val="24"/>
        </w:rPr>
        <w:t>2、姓名：蒋金泉</w:t>
      </w:r>
    </w:p>
    <w:p>
      <w:pPr>
        <w:adjustRightInd w:val="0"/>
        <w:snapToGrid w:val="0"/>
        <w:spacing w:line="360" w:lineRule="auto"/>
        <w:ind w:firstLine="480" w:firstLineChars="200"/>
        <w:rPr>
          <w:rFonts w:hAnsi="宋体"/>
          <w:sz w:val="24"/>
        </w:rPr>
      </w:pPr>
      <w:r>
        <w:rPr>
          <w:rFonts w:hint="eastAsia" w:hAnsi="宋体"/>
          <w:sz w:val="24"/>
        </w:rPr>
        <w:t>排名：2</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主要对4个创新点均作出了重要贡献：参与构建了坚硬厚层顶板Winkler基础正交梁模型；参与提出了考虑弹性基础效应的最大离层空间体积预测模型及离层空间的梯形确定方法；参与研究了关键层破断角发展行为及其与覆岩结构关系；参与提出了坚硬顶板破断失稳诱发瓦斯爆燃的预防措施；指导了多种开采方式防范离层水-瓦斯突涌的措施；研制了多种采掘</w:t>
      </w:r>
      <w:r>
        <w:rPr>
          <w:rFonts w:hint="eastAsia" w:hAnsi="宋体"/>
          <w:sz w:val="24"/>
          <w:lang w:eastAsia="zh-CN"/>
        </w:rPr>
        <w:t>工作面</w:t>
      </w:r>
      <w:r>
        <w:rPr>
          <w:rFonts w:hint="eastAsia" w:hAnsi="宋体"/>
          <w:sz w:val="24"/>
        </w:rPr>
        <w:t xml:space="preserve">维护顶板稳定性的支护方法和支护设备。 </w:t>
      </w:r>
    </w:p>
    <w:p>
      <w:pPr>
        <w:adjustRightInd w:val="0"/>
        <w:snapToGrid w:val="0"/>
        <w:spacing w:line="360" w:lineRule="auto"/>
        <w:rPr>
          <w:rFonts w:hAnsi="宋体"/>
          <w:b/>
          <w:sz w:val="24"/>
        </w:rPr>
      </w:pPr>
      <w:r>
        <w:rPr>
          <w:rFonts w:hint="eastAsia" w:hAnsi="宋体"/>
          <w:b/>
          <w:sz w:val="24"/>
        </w:rPr>
        <w:t>3、姓名：秦广鹏</w:t>
      </w:r>
    </w:p>
    <w:p>
      <w:pPr>
        <w:adjustRightInd w:val="0"/>
        <w:snapToGrid w:val="0"/>
        <w:spacing w:line="360" w:lineRule="auto"/>
        <w:ind w:firstLine="480" w:firstLineChars="200"/>
        <w:rPr>
          <w:rFonts w:hAnsi="宋体"/>
          <w:sz w:val="24"/>
        </w:rPr>
      </w:pPr>
      <w:r>
        <w:rPr>
          <w:rFonts w:hint="eastAsia" w:hAnsi="宋体"/>
          <w:sz w:val="24"/>
        </w:rPr>
        <w:t>排名：3</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作为项目骨干，主要对创新点2和创新点4做出重要贡献：自主设计了室内岩石摩擦效应引燃瓦斯试验箱，实验分析揭示了坚硬顶板破裂失稳诱发采空区瓦斯爆燃机理；提出并研制了采掘</w:t>
      </w:r>
      <w:r>
        <w:rPr>
          <w:rFonts w:hint="eastAsia" w:hAnsi="宋体"/>
          <w:sz w:val="24"/>
          <w:lang w:eastAsia="zh-CN"/>
        </w:rPr>
        <w:t>工作面</w:t>
      </w:r>
      <w:r>
        <w:rPr>
          <w:rFonts w:hint="eastAsia" w:hAnsi="宋体"/>
          <w:sz w:val="24"/>
        </w:rPr>
        <w:t>适用</w:t>
      </w:r>
      <w:r>
        <w:rPr>
          <w:rFonts w:hint="eastAsia" w:hAnsi="宋体"/>
          <w:sz w:val="24"/>
          <w:lang w:eastAsia="zh-CN"/>
        </w:rPr>
        <w:t>的</w:t>
      </w:r>
      <w:r>
        <w:rPr>
          <w:rFonts w:hint="eastAsia" w:hAnsi="宋体"/>
          <w:sz w:val="24"/>
        </w:rPr>
        <w:t>支护方法及支护设备，保证了</w:t>
      </w:r>
      <w:r>
        <w:rPr>
          <w:rFonts w:hint="eastAsia" w:hAnsi="宋体"/>
          <w:sz w:val="24"/>
          <w:lang w:eastAsia="zh-CN"/>
        </w:rPr>
        <w:t>工作面</w:t>
      </w:r>
      <w:r>
        <w:rPr>
          <w:rFonts w:hint="eastAsia" w:hAnsi="宋体"/>
          <w:sz w:val="24"/>
        </w:rPr>
        <w:t>顶板的稳定性。</w:t>
      </w:r>
    </w:p>
    <w:p>
      <w:pPr>
        <w:adjustRightInd w:val="0"/>
        <w:snapToGrid w:val="0"/>
        <w:spacing w:line="360" w:lineRule="auto"/>
        <w:rPr>
          <w:rFonts w:hAnsi="宋体"/>
          <w:b/>
          <w:sz w:val="24"/>
        </w:rPr>
      </w:pPr>
      <w:r>
        <w:rPr>
          <w:rFonts w:hint="eastAsia" w:hAnsi="宋体"/>
          <w:b/>
          <w:sz w:val="24"/>
        </w:rPr>
        <w:t>4、姓名：蒋力帅</w:t>
      </w:r>
    </w:p>
    <w:p>
      <w:pPr>
        <w:adjustRightInd w:val="0"/>
        <w:snapToGrid w:val="0"/>
        <w:spacing w:line="360" w:lineRule="auto"/>
        <w:ind w:firstLine="480" w:firstLineChars="200"/>
        <w:rPr>
          <w:rFonts w:hAnsi="宋体"/>
          <w:sz w:val="24"/>
        </w:rPr>
      </w:pPr>
      <w:r>
        <w:rPr>
          <w:rFonts w:hint="eastAsia" w:hAnsi="宋体"/>
          <w:sz w:val="24"/>
        </w:rPr>
        <w:t>排名：4</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项目骨干，主要对创新点1做出重要贡献：建立了工程岩体裂隙发育程度和残余杨氏模量损伤劣化模型，提出了基于连续介质的工程岩体破裂劣化数值模拟方法，揭示了施工过程对围岩和支护受力演化规律，更真实反映采掘活动对覆岩的影响状态。</w:t>
      </w:r>
    </w:p>
    <w:p>
      <w:pPr>
        <w:adjustRightInd w:val="0"/>
        <w:snapToGrid w:val="0"/>
        <w:spacing w:line="360" w:lineRule="auto"/>
        <w:rPr>
          <w:rFonts w:hAnsi="宋体"/>
          <w:b/>
          <w:sz w:val="24"/>
        </w:rPr>
      </w:pPr>
      <w:r>
        <w:rPr>
          <w:rFonts w:hint="eastAsia" w:hAnsi="宋体"/>
          <w:b/>
          <w:sz w:val="24"/>
        </w:rPr>
        <w:t>5、姓名：郑朋强</w:t>
      </w:r>
    </w:p>
    <w:p>
      <w:pPr>
        <w:adjustRightInd w:val="0"/>
        <w:snapToGrid w:val="0"/>
        <w:spacing w:line="360" w:lineRule="auto"/>
        <w:ind w:firstLine="480" w:firstLineChars="200"/>
        <w:rPr>
          <w:rFonts w:hAnsi="宋体"/>
          <w:sz w:val="24"/>
        </w:rPr>
      </w:pPr>
      <w:r>
        <w:rPr>
          <w:rFonts w:hint="eastAsia" w:hAnsi="宋体"/>
          <w:sz w:val="24"/>
        </w:rPr>
        <w:t>排名：5</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作为项目骨干，主要对创新点1和3做出重要贡献：建立了关键层破断力学模型，研究了覆岩破断角发展行为及其与覆岩结构关系，较完整正确地反映岩层整体破断形态，实现较准确预测采场来压行为。</w:t>
      </w:r>
    </w:p>
    <w:p>
      <w:pPr>
        <w:adjustRightInd w:val="0"/>
        <w:snapToGrid w:val="0"/>
        <w:spacing w:line="360" w:lineRule="auto"/>
        <w:rPr>
          <w:rFonts w:hAnsi="宋体"/>
          <w:b/>
          <w:sz w:val="24"/>
        </w:rPr>
      </w:pPr>
      <w:r>
        <w:rPr>
          <w:rFonts w:hint="eastAsia" w:hAnsi="宋体"/>
          <w:b/>
          <w:sz w:val="24"/>
        </w:rPr>
        <w:t>6、姓名：李洪</w:t>
      </w:r>
    </w:p>
    <w:p>
      <w:pPr>
        <w:adjustRightInd w:val="0"/>
        <w:snapToGrid w:val="0"/>
        <w:spacing w:line="360" w:lineRule="auto"/>
        <w:ind w:firstLine="480" w:firstLineChars="200"/>
        <w:rPr>
          <w:rFonts w:hAnsi="宋体"/>
          <w:sz w:val="24"/>
        </w:rPr>
      </w:pPr>
      <w:r>
        <w:rPr>
          <w:rFonts w:hint="eastAsia" w:hAnsi="宋体"/>
          <w:sz w:val="24"/>
        </w:rPr>
        <w:t>排名：6</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作为项目骨干，主要对创新点1和4做出重要贡献：提出一种沿空留巷轻质高强混凝土砌块墙体支护方法，减小坚硬顶板下方离层空间及其运动空间；研究了坚硬厚层顶板破断规律，分析了其破断位置。</w:t>
      </w:r>
    </w:p>
    <w:p>
      <w:pPr>
        <w:adjustRightInd w:val="0"/>
        <w:snapToGrid w:val="0"/>
        <w:spacing w:line="360" w:lineRule="auto"/>
        <w:rPr>
          <w:rFonts w:hint="eastAsia" w:hAnsi="宋体" w:eastAsia="宋体"/>
          <w:b/>
          <w:sz w:val="24"/>
          <w:lang w:eastAsia="zh-CN"/>
        </w:rPr>
      </w:pPr>
      <w:r>
        <w:rPr>
          <w:rFonts w:hint="eastAsia" w:hAnsi="宋体"/>
          <w:b/>
          <w:sz w:val="24"/>
        </w:rPr>
        <w:t>7、姓名：</w:t>
      </w:r>
      <w:r>
        <w:rPr>
          <w:rFonts w:hint="eastAsia" w:hAnsi="宋体"/>
          <w:b/>
          <w:sz w:val="24"/>
          <w:lang w:eastAsia="zh-CN"/>
        </w:rPr>
        <w:t>马长青</w:t>
      </w:r>
    </w:p>
    <w:p>
      <w:pPr>
        <w:adjustRightInd w:val="0"/>
        <w:snapToGrid w:val="0"/>
        <w:spacing w:line="360" w:lineRule="auto"/>
        <w:ind w:firstLine="480" w:firstLineChars="200"/>
        <w:rPr>
          <w:rFonts w:hAnsi="宋体"/>
          <w:sz w:val="24"/>
        </w:rPr>
      </w:pPr>
      <w:r>
        <w:rPr>
          <w:rFonts w:hint="eastAsia" w:hAnsi="宋体"/>
          <w:sz w:val="24"/>
        </w:rPr>
        <w:t>排名：7</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int="eastAsia" w:hAnsi="宋体"/>
          <w:sz w:val="24"/>
        </w:rPr>
      </w:pPr>
      <w:r>
        <w:rPr>
          <w:rFonts w:hint="eastAsia" w:hAnsi="宋体"/>
          <w:sz w:val="24"/>
        </w:rPr>
        <w:t>作为项目骨干，主要对创新点</w:t>
      </w:r>
      <w:r>
        <w:rPr>
          <w:rFonts w:hint="eastAsia" w:hAnsi="宋体"/>
          <w:sz w:val="24"/>
          <w:lang w:val="en-US" w:eastAsia="zh-CN"/>
        </w:rPr>
        <w:t>4</w:t>
      </w:r>
      <w:r>
        <w:rPr>
          <w:rFonts w:hint="eastAsia" w:hAnsi="宋体"/>
          <w:sz w:val="24"/>
        </w:rPr>
        <w:t>做出重要贡献：提出并研制了采掘</w:t>
      </w:r>
      <w:r>
        <w:rPr>
          <w:rFonts w:hint="eastAsia" w:hAnsi="宋体"/>
          <w:sz w:val="24"/>
          <w:lang w:eastAsia="zh-CN"/>
        </w:rPr>
        <w:t>工作面适用的</w:t>
      </w:r>
      <w:r>
        <w:rPr>
          <w:rFonts w:hint="eastAsia" w:hAnsi="宋体"/>
          <w:sz w:val="24"/>
        </w:rPr>
        <w:t>支护方法及支护设备，保证了</w:t>
      </w:r>
      <w:r>
        <w:rPr>
          <w:rFonts w:hint="eastAsia" w:hAnsi="宋体"/>
          <w:sz w:val="24"/>
          <w:lang w:eastAsia="zh-CN"/>
        </w:rPr>
        <w:t>工作面</w:t>
      </w:r>
      <w:r>
        <w:rPr>
          <w:rFonts w:hint="eastAsia" w:hAnsi="宋体"/>
          <w:sz w:val="24"/>
        </w:rPr>
        <w:t xml:space="preserve">顶板的稳定性。 </w:t>
      </w:r>
    </w:p>
    <w:p>
      <w:pPr>
        <w:adjustRightInd w:val="0"/>
        <w:snapToGrid w:val="0"/>
        <w:spacing w:line="360" w:lineRule="auto"/>
        <w:rPr>
          <w:rFonts w:hAnsi="宋体"/>
          <w:b/>
          <w:sz w:val="24"/>
        </w:rPr>
      </w:pPr>
      <w:r>
        <w:rPr>
          <w:rFonts w:hint="eastAsia" w:hAnsi="宋体"/>
          <w:b/>
          <w:sz w:val="24"/>
          <w:lang w:val="en-US" w:eastAsia="zh-CN"/>
        </w:rPr>
        <w:t>8</w:t>
      </w:r>
      <w:r>
        <w:rPr>
          <w:rFonts w:hint="eastAsia" w:hAnsi="宋体"/>
          <w:b/>
          <w:sz w:val="24"/>
        </w:rPr>
        <w:t>、姓名：许斌</w:t>
      </w:r>
    </w:p>
    <w:p>
      <w:pPr>
        <w:adjustRightInd w:val="0"/>
        <w:snapToGrid w:val="0"/>
        <w:spacing w:line="360" w:lineRule="auto"/>
        <w:ind w:firstLine="480" w:firstLineChars="200"/>
        <w:rPr>
          <w:rFonts w:hint="eastAsia" w:hAnsi="宋体" w:eastAsia="宋体"/>
          <w:sz w:val="24"/>
          <w:lang w:eastAsia="zh-CN"/>
        </w:rPr>
      </w:pPr>
      <w:r>
        <w:rPr>
          <w:rFonts w:hint="eastAsia" w:hAnsi="宋体"/>
          <w:sz w:val="24"/>
        </w:rPr>
        <w:t>排名：</w:t>
      </w:r>
      <w:r>
        <w:rPr>
          <w:rFonts w:hint="eastAsia" w:hAnsi="宋体"/>
          <w:sz w:val="24"/>
          <w:lang w:val="en-US" w:eastAsia="zh-CN"/>
        </w:rPr>
        <w:t>8</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作为项目骨干，主要对创新点1和3做出重要贡献：建立了关键层破断力学模型，研究了覆岩破断角发展行为及其与覆岩结构关系，较完整正确地反映岩层整体破断形态，实现较准确预测采场来压行为；研究了关键层下离层空间时空演化和扩展规律，并分析其诱导离层水突涌的机理。</w:t>
      </w:r>
    </w:p>
    <w:p>
      <w:pPr>
        <w:adjustRightInd w:val="0"/>
        <w:snapToGrid w:val="0"/>
        <w:spacing w:line="360" w:lineRule="auto"/>
        <w:rPr>
          <w:rFonts w:hAnsi="宋体"/>
          <w:b/>
          <w:sz w:val="24"/>
        </w:rPr>
      </w:pPr>
      <w:r>
        <w:rPr>
          <w:rFonts w:hint="eastAsia" w:hAnsi="宋体"/>
          <w:b/>
          <w:sz w:val="24"/>
          <w:lang w:val="en-US" w:eastAsia="zh-CN"/>
        </w:rPr>
        <w:t>9</w:t>
      </w:r>
      <w:r>
        <w:rPr>
          <w:rFonts w:hint="eastAsia" w:hAnsi="宋体"/>
          <w:b/>
          <w:sz w:val="24"/>
        </w:rPr>
        <w:t>、姓名：张培鹏</w:t>
      </w:r>
    </w:p>
    <w:p>
      <w:pPr>
        <w:adjustRightInd w:val="0"/>
        <w:snapToGrid w:val="0"/>
        <w:spacing w:line="360" w:lineRule="auto"/>
        <w:ind w:firstLine="480" w:firstLineChars="200"/>
        <w:rPr>
          <w:rFonts w:hint="eastAsia" w:hAnsi="宋体" w:eastAsia="宋体"/>
          <w:sz w:val="24"/>
          <w:lang w:eastAsia="zh-CN"/>
        </w:rPr>
      </w:pPr>
      <w:r>
        <w:rPr>
          <w:rFonts w:hint="eastAsia" w:hAnsi="宋体"/>
          <w:sz w:val="24"/>
        </w:rPr>
        <w:t>排名：</w:t>
      </w:r>
      <w:r>
        <w:rPr>
          <w:rFonts w:hint="eastAsia" w:hAnsi="宋体"/>
          <w:sz w:val="24"/>
          <w:lang w:val="en-US" w:eastAsia="zh-CN"/>
        </w:rPr>
        <w:t>9</w:t>
      </w:r>
    </w:p>
    <w:p>
      <w:pPr>
        <w:adjustRightInd w:val="0"/>
        <w:snapToGrid w:val="0"/>
        <w:spacing w:line="360" w:lineRule="auto"/>
        <w:ind w:firstLine="480"/>
        <w:rPr>
          <w:rFonts w:hAnsi="宋体"/>
          <w:sz w:val="24"/>
        </w:rPr>
      </w:pPr>
      <w:r>
        <w:rPr>
          <w:rFonts w:hint="eastAsia" w:hAnsi="宋体"/>
          <w:sz w:val="24"/>
        </w:rPr>
        <w:t>工作单位：山东科技大学</w:t>
      </w:r>
    </w:p>
    <w:p>
      <w:pPr>
        <w:adjustRightInd w:val="0"/>
        <w:snapToGrid w:val="0"/>
        <w:spacing w:line="360" w:lineRule="auto"/>
        <w:ind w:left="567" w:leftChars="270"/>
        <w:rPr>
          <w:rFonts w:hAnsi="宋体"/>
          <w:sz w:val="24"/>
        </w:rPr>
      </w:pPr>
      <w:r>
        <w:rPr>
          <w:rFonts w:hint="eastAsia" w:hAnsi="宋体"/>
          <w:sz w:val="24"/>
        </w:rPr>
        <w:t xml:space="preserve">作为项目骨干，主要对创新点1和创新点2做出重要贡献：参与构建了坚硬厚层顶板Winkler基础正交梁模型；参与提出了考虑弹性基础效应的最大离层空间体积预测模型及离层空间的梯形确定方法；研究了坚硬厚层顶板破裂岩石摩擦起火与垮落岩块质量、垮落高度关系以及采空区瓦斯易燃易爆点分布规律，提出了坚硬顶板破断失稳诱发瓦斯爆燃的预防措施。 </w:t>
      </w:r>
    </w:p>
    <w:p>
      <w:pPr>
        <w:snapToGrid w:val="0"/>
        <w:spacing w:line="360" w:lineRule="auto"/>
        <w:rPr>
          <w:rFonts w:hAnsiTheme="minorEastAsia" w:eastAsiaTheme="minorEastAsia"/>
          <w:b/>
          <w:color w:val="000000" w:themeColor="text1"/>
          <w:sz w:val="24"/>
          <w:szCs w:val="32"/>
        </w:rPr>
      </w:pPr>
      <w:r>
        <w:rPr>
          <w:rFonts w:hAnsiTheme="minorEastAsia" w:eastAsiaTheme="minorEastAsia"/>
          <w:b/>
          <w:color w:val="000000" w:themeColor="text1"/>
          <w:sz w:val="24"/>
          <w:szCs w:val="32"/>
        </w:rPr>
        <w:t>七、主要完成单位及创新推广贡献</w:t>
      </w:r>
    </w:p>
    <w:p>
      <w:pPr>
        <w:adjustRightInd w:val="0"/>
        <w:snapToGrid w:val="0"/>
        <w:spacing w:line="360" w:lineRule="auto"/>
        <w:rPr>
          <w:rFonts w:hAnsi="宋体"/>
          <w:b/>
          <w:sz w:val="24"/>
        </w:rPr>
      </w:pPr>
      <w:r>
        <w:rPr>
          <w:rFonts w:hint="eastAsia" w:hAnsi="宋体"/>
          <w:b/>
          <w:sz w:val="24"/>
        </w:rPr>
        <w:t>1、单位名称：山东科技大学</w:t>
      </w:r>
    </w:p>
    <w:p>
      <w:pPr>
        <w:adjustRightInd w:val="0"/>
        <w:snapToGrid w:val="0"/>
        <w:spacing w:line="360" w:lineRule="auto"/>
        <w:ind w:firstLine="480" w:firstLineChars="200"/>
        <w:rPr>
          <w:rFonts w:hAnsi="宋体"/>
          <w:sz w:val="24"/>
        </w:rPr>
      </w:pPr>
      <w:r>
        <w:rPr>
          <w:rFonts w:hint="eastAsia" w:hAnsi="宋体"/>
          <w:sz w:val="24"/>
        </w:rPr>
        <w:t>排名：1</w:t>
      </w:r>
    </w:p>
    <w:p>
      <w:pPr>
        <w:adjustRightInd w:val="0"/>
        <w:snapToGrid w:val="0"/>
        <w:spacing w:line="360" w:lineRule="auto"/>
        <w:ind w:left="567" w:leftChars="270"/>
        <w:rPr>
          <w:kern w:val="0"/>
          <w:sz w:val="24"/>
        </w:rPr>
      </w:pPr>
      <w:r>
        <w:rPr>
          <w:rFonts w:hint="eastAsia" w:hAnsi="宋体"/>
          <w:sz w:val="24"/>
        </w:rPr>
        <w:t>对本项目技术创造性和推广应用情况的贡献：</w:t>
      </w:r>
    </w:p>
    <w:p>
      <w:pPr>
        <w:adjustRightInd w:val="0"/>
        <w:snapToGrid w:val="0"/>
        <w:spacing w:line="360" w:lineRule="auto"/>
        <w:ind w:left="567" w:leftChars="270"/>
        <w:rPr>
          <w:rFonts w:hAnsi="宋体"/>
          <w:sz w:val="24"/>
        </w:rPr>
      </w:pPr>
      <w:r>
        <w:rPr>
          <w:rFonts w:hint="eastAsia" w:hAnsi="宋体"/>
          <w:sz w:val="24"/>
        </w:rPr>
        <w:t>（1）构建了坚硬厚层顶板Winkler基础正交梁模型，理论预测了其破断步距，揭示了围岩系统弹性基础效应；建立了关键层破断力学模型，研究了覆岩破断角发展行为及其与覆岩结构关系；建立了工程岩体裂隙发育和残余杨氏模量损伤劣化模型，提出了基于连续介质的工程岩体破裂劣化模拟方法。</w:t>
      </w:r>
    </w:p>
    <w:p>
      <w:pPr>
        <w:adjustRightInd w:val="0"/>
        <w:snapToGrid w:val="0"/>
        <w:spacing w:line="360" w:lineRule="auto"/>
        <w:ind w:left="567" w:leftChars="270"/>
        <w:rPr>
          <w:rFonts w:hAnsi="宋体"/>
          <w:sz w:val="24"/>
        </w:rPr>
      </w:pPr>
      <w:r>
        <w:rPr>
          <w:rFonts w:hint="eastAsia" w:hAnsi="宋体"/>
          <w:sz w:val="24"/>
        </w:rPr>
        <w:t>（2）建立了考虑弹性基础效应的最大离层空间体积预测模型，得到了坚硬厚层顶板下最大离层空间体积；分析了离层空间形成机理及条件，揭示了离层空间时空演化和扩展规律，提出了离层空间演化过程的确定方法；研究了坚硬厚层顶板破裂岩石摩擦起火与垮落岩块质量、垮落高度关系以及采空区瓦斯易燃易爆点分布规律，自主设计了室内岩石摩擦效应引燃瓦斯试验箱，实验分析揭示了坚硬顶板垮落诱发采空区瓦斯爆燃机理。</w:t>
      </w:r>
    </w:p>
    <w:p>
      <w:pPr>
        <w:adjustRightInd w:val="0"/>
        <w:snapToGrid w:val="0"/>
        <w:spacing w:line="360" w:lineRule="auto"/>
        <w:ind w:left="567" w:leftChars="270"/>
        <w:rPr>
          <w:rFonts w:hint="eastAsia" w:hAnsi="宋体"/>
          <w:sz w:val="24"/>
        </w:rPr>
      </w:pPr>
      <w:r>
        <w:rPr>
          <w:rFonts w:hint="eastAsia" w:hAnsi="宋体"/>
          <w:sz w:val="24"/>
        </w:rPr>
        <w:t>（3）提出了条带开采、采空区充填开采和离层区注浆充填开采等技术以减小坚硬厚层顶板大面积悬空及其运动空间；提出了强制放顶、采空区矸石喷水、注入惰性气体等预防技术以减少坚硬厚层顶板破断摩擦诱导瓦斯爆燃可能性。</w:t>
      </w:r>
    </w:p>
    <w:p>
      <w:pPr>
        <w:adjustRightInd w:val="0"/>
        <w:snapToGrid w:val="0"/>
        <w:spacing w:line="360" w:lineRule="auto"/>
        <w:ind w:left="567" w:leftChars="270"/>
        <w:rPr>
          <w:rFonts w:hAnsi="宋体"/>
          <w:sz w:val="24"/>
        </w:rPr>
      </w:pPr>
      <w:r>
        <w:rPr>
          <w:rFonts w:hint="eastAsia" w:hAnsi="宋体"/>
          <w:sz w:val="24"/>
        </w:rPr>
        <w:t>（4）研制了采掘工作面适用</w:t>
      </w:r>
      <w:r>
        <w:rPr>
          <w:rFonts w:hint="eastAsia" w:hAnsi="宋体"/>
          <w:sz w:val="24"/>
          <w:lang w:eastAsia="zh-CN"/>
        </w:rPr>
        <w:t>的</w:t>
      </w:r>
      <w:r>
        <w:rPr>
          <w:rFonts w:hint="eastAsia" w:hAnsi="宋体"/>
          <w:sz w:val="24"/>
        </w:rPr>
        <w:t>支护方法及支护设备，保证了</w:t>
      </w:r>
      <w:r>
        <w:rPr>
          <w:rFonts w:hint="eastAsia" w:hAnsi="宋体"/>
          <w:sz w:val="24"/>
          <w:lang w:eastAsia="zh-CN"/>
        </w:rPr>
        <w:t>工作面</w:t>
      </w:r>
      <w:r>
        <w:rPr>
          <w:rFonts w:hint="eastAsia" w:hAnsi="宋体"/>
          <w:sz w:val="24"/>
        </w:rPr>
        <w:t>顶板的稳定性。</w:t>
      </w:r>
    </w:p>
    <w:p>
      <w:pPr>
        <w:adjustRightInd w:val="0"/>
        <w:snapToGrid w:val="0"/>
        <w:spacing w:line="360" w:lineRule="auto"/>
        <w:ind w:left="567" w:leftChars="270"/>
        <w:rPr>
          <w:rFonts w:hAnsi="宋体"/>
          <w:sz w:val="24"/>
        </w:rPr>
      </w:pPr>
      <w:r>
        <w:rPr>
          <w:rFonts w:hint="eastAsia" w:hAnsi="宋体"/>
          <w:sz w:val="24"/>
        </w:rPr>
        <w:t>（5）积极推动技术成果的产出和应用，促成了产学研合作平台的建立，将技术成果通过产学研平台大力推广，构建了产学研用一体的科研平台。</w:t>
      </w:r>
    </w:p>
    <w:p>
      <w:pPr>
        <w:snapToGrid w:val="0"/>
        <w:spacing w:line="360" w:lineRule="auto"/>
        <w:rPr>
          <w:rFonts w:eastAsiaTheme="minorEastAsia"/>
          <w:b/>
          <w:color w:val="000000" w:themeColor="text1"/>
          <w:sz w:val="24"/>
          <w:szCs w:val="32"/>
        </w:rPr>
      </w:pPr>
      <w:r>
        <w:rPr>
          <w:rFonts w:hAnsiTheme="minorEastAsia" w:eastAsiaTheme="minorEastAsia"/>
          <w:b/>
          <w:color w:val="000000" w:themeColor="text1"/>
          <w:sz w:val="24"/>
          <w:szCs w:val="32"/>
        </w:rPr>
        <w:t>八、完成人合作关系说明</w:t>
      </w:r>
    </w:p>
    <w:p>
      <w:pPr>
        <w:adjustRightInd w:val="0"/>
        <w:snapToGrid w:val="0"/>
        <w:spacing w:line="360" w:lineRule="auto"/>
        <w:ind w:firstLine="480" w:firstLineChars="200"/>
        <w:rPr>
          <w:rFonts w:hAnsi="宋体"/>
          <w:sz w:val="24"/>
        </w:rPr>
      </w:pPr>
      <w:r>
        <w:rPr>
          <w:rFonts w:hint="eastAsia" w:hAnsi="宋体"/>
          <w:sz w:val="24"/>
        </w:rPr>
        <w:t>完成人之间存在以下合作关系：</w:t>
      </w:r>
    </w:p>
    <w:p>
      <w:pPr>
        <w:adjustRightInd w:val="0"/>
        <w:snapToGrid w:val="0"/>
        <w:spacing w:line="360" w:lineRule="auto"/>
        <w:ind w:firstLine="480" w:firstLineChars="200"/>
        <w:rPr>
          <w:rFonts w:hAnsi="宋体"/>
          <w:sz w:val="24"/>
        </w:rPr>
      </w:pPr>
      <w:r>
        <w:rPr>
          <w:rFonts w:hint="eastAsia" w:hAnsi="宋体"/>
          <w:sz w:val="24"/>
        </w:rPr>
        <w:t>项目负责人与各完成人之间通过联合发表专利、联合发表论文、联合开展科研项目等多种方式开展了实质性合作。</w:t>
      </w:r>
    </w:p>
    <w:p>
      <w:pPr>
        <w:adjustRightInd w:val="0"/>
        <w:snapToGrid w:val="0"/>
        <w:spacing w:line="360" w:lineRule="auto"/>
        <w:ind w:firstLine="480" w:firstLineChars="200"/>
        <w:rPr>
          <w:rFonts w:hint="eastAsia" w:hAnsi="宋体"/>
          <w:sz w:val="24"/>
        </w:rPr>
      </w:pPr>
      <w:r>
        <w:rPr>
          <w:rFonts w:hint="eastAsia" w:hAnsi="宋体"/>
          <w:sz w:val="24"/>
        </w:rPr>
        <w:t>项目负责人王普（1）与完成人蒋金泉（2）、秦广鹏（3）、蒋力帅（4）、郑朋强（5）、李洪（6）、</w:t>
      </w:r>
      <w:r>
        <w:rPr>
          <w:rFonts w:hint="eastAsia" w:hAnsi="宋体"/>
          <w:sz w:val="24"/>
          <w:lang w:eastAsia="zh-CN"/>
        </w:rPr>
        <w:t>马长青（</w:t>
      </w:r>
      <w:r>
        <w:rPr>
          <w:rFonts w:hint="eastAsia" w:hAnsi="宋体"/>
          <w:sz w:val="24"/>
          <w:lang w:val="en-US" w:eastAsia="zh-CN"/>
        </w:rPr>
        <w:t>7</w:t>
      </w:r>
      <w:r>
        <w:rPr>
          <w:rFonts w:hint="eastAsia" w:hAnsi="宋体"/>
          <w:sz w:val="24"/>
          <w:lang w:eastAsia="zh-CN"/>
        </w:rPr>
        <w:t>）和</w:t>
      </w:r>
      <w:r>
        <w:rPr>
          <w:rFonts w:hint="eastAsia" w:hAnsi="宋体"/>
          <w:sz w:val="24"/>
        </w:rPr>
        <w:t>张培鹏（</w:t>
      </w:r>
      <w:r>
        <w:rPr>
          <w:rFonts w:hint="eastAsia" w:hAnsi="宋体"/>
          <w:sz w:val="24"/>
          <w:lang w:val="en-US" w:eastAsia="zh-CN"/>
        </w:rPr>
        <w:t>9</w:t>
      </w:r>
      <w:r>
        <w:rPr>
          <w:rFonts w:hint="eastAsia" w:hAnsi="宋体"/>
          <w:sz w:val="24"/>
        </w:rPr>
        <w:t>）均为同事关系，蒋金泉（2）与许斌（</w:t>
      </w:r>
      <w:r>
        <w:rPr>
          <w:rFonts w:hint="eastAsia" w:hAnsi="宋体"/>
          <w:sz w:val="24"/>
          <w:lang w:val="en-US" w:eastAsia="zh-CN"/>
        </w:rPr>
        <w:t>8</w:t>
      </w:r>
      <w:r>
        <w:rPr>
          <w:rFonts w:hint="eastAsia" w:hAnsi="宋体"/>
          <w:sz w:val="24"/>
        </w:rPr>
        <w:t>）为师生关系。</w:t>
      </w:r>
    </w:p>
    <w:p>
      <w:pPr>
        <w:adjustRightInd w:val="0"/>
        <w:snapToGrid w:val="0"/>
        <w:spacing w:line="360" w:lineRule="auto"/>
        <w:ind w:firstLine="480" w:firstLineChars="200"/>
        <w:rPr>
          <w:rFonts w:hAnsi="宋体"/>
          <w:sz w:val="24"/>
        </w:rPr>
      </w:pPr>
      <w:r>
        <w:rPr>
          <w:rFonts w:hint="eastAsia" w:hAnsi="宋体"/>
          <w:sz w:val="24"/>
        </w:rPr>
        <w:t>项目负责人王普（1）与完成人蒋金泉（2）、郑朋强（5）、张培鹏（</w:t>
      </w:r>
      <w:r>
        <w:rPr>
          <w:rFonts w:hint="eastAsia" w:hAnsi="宋体"/>
          <w:sz w:val="24"/>
          <w:lang w:val="en-US" w:eastAsia="zh-CN"/>
        </w:rPr>
        <w:t>9</w:t>
      </w:r>
      <w:r>
        <w:rPr>
          <w:rFonts w:hint="eastAsia" w:hAnsi="宋体"/>
          <w:sz w:val="24"/>
        </w:rPr>
        <w:t>）合作完成了附件11、附件15和附件20等多篇论文，对创新点1、创新点2和创新点3做出了突出贡献。项目负责人王普（1）与完成人秦广鹏（3）、蒋力帅（4）、李洪（6）、许斌（</w:t>
      </w:r>
      <w:r>
        <w:rPr>
          <w:rFonts w:hint="eastAsia" w:hAnsi="宋体"/>
          <w:sz w:val="24"/>
          <w:lang w:val="en-US" w:eastAsia="zh-CN"/>
        </w:rPr>
        <w:t>8</w:t>
      </w:r>
      <w:r>
        <w:rPr>
          <w:rFonts w:hint="eastAsia" w:hAnsi="宋体"/>
          <w:sz w:val="24"/>
        </w:rPr>
        <w:t>）在安徽淮北杨柳</w:t>
      </w:r>
      <w:bookmarkStart w:id="0" w:name="_GoBack"/>
      <w:bookmarkEnd w:id="0"/>
      <w:r>
        <w:rPr>
          <w:rFonts w:hint="eastAsia" w:hAnsi="宋体"/>
          <w:sz w:val="24"/>
        </w:rPr>
        <w:t>煤矿共同开展现场监测，并做好数据处理、报告整理的工作，对项目创新点3和创新点4做出了突出贡献。完成人蒋金泉（2）与完成人秦广鹏（3）、蒋力帅（4）、郑朋强（5）、许斌（</w:t>
      </w:r>
      <w:r>
        <w:rPr>
          <w:rFonts w:hint="eastAsia" w:hAnsi="宋体"/>
          <w:sz w:val="24"/>
          <w:lang w:val="en-US" w:eastAsia="zh-CN"/>
        </w:rPr>
        <w:t>8</w:t>
      </w:r>
      <w:r>
        <w:rPr>
          <w:rFonts w:hint="eastAsia" w:hAnsi="宋体"/>
          <w:sz w:val="24"/>
        </w:rPr>
        <w:t>）、张培鹏（</w:t>
      </w:r>
      <w:r>
        <w:rPr>
          <w:rFonts w:hint="eastAsia" w:hAnsi="宋体"/>
          <w:sz w:val="24"/>
          <w:lang w:val="en-US" w:eastAsia="zh-CN"/>
        </w:rPr>
        <w:t>9</w:t>
      </w:r>
      <w:r>
        <w:rPr>
          <w:rFonts w:hint="eastAsia" w:hAnsi="宋体"/>
          <w:sz w:val="24"/>
        </w:rPr>
        <w:t>）共同研发了多种采掘工作面支护设备，并完成了多篇论文，对项目4个创新点均做出了突出贡献。</w:t>
      </w:r>
    </w:p>
    <w:p>
      <w:pPr>
        <w:rPr>
          <w:rFonts w:hint="eastAsia"/>
          <w:sz w:val="36"/>
          <w:szCs w:val="36"/>
        </w:rPr>
      </w:pPr>
      <w:r>
        <w:rPr>
          <w:rFonts w:hint="eastAsia"/>
          <w:sz w:val="36"/>
          <w:szCs w:val="36"/>
        </w:rPr>
        <w:br w:type="page"/>
      </w:r>
    </w:p>
    <w:p>
      <w:pPr>
        <w:pStyle w:val="2"/>
        <w:spacing w:line="240" w:lineRule="auto"/>
        <w:jc w:val="center"/>
        <w:rPr>
          <w:rFonts w:ascii="宋体" w:hAnsi="宋体"/>
          <w:b w:val="0"/>
          <w:sz w:val="28"/>
        </w:rPr>
      </w:pPr>
      <w:r>
        <w:rPr>
          <w:rFonts w:hint="eastAsia"/>
          <w:sz w:val="36"/>
          <w:szCs w:val="36"/>
        </w:rPr>
        <w:t>完成人合作关系情况汇总表</w:t>
      </w:r>
    </w:p>
    <w:tbl>
      <w:tblPr>
        <w:tblStyle w:val="7"/>
        <w:tblW w:w="91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708"/>
        <w:gridCol w:w="2939"/>
        <w:gridCol w:w="1007"/>
        <w:gridCol w:w="2291"/>
        <w:gridCol w:w="85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序号</w:t>
            </w:r>
          </w:p>
        </w:tc>
        <w:tc>
          <w:tcPr>
            <w:tcW w:w="70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合作方式</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合作者/</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项目排名</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合作</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时间</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合作成果</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证明</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材料</w:t>
            </w:r>
          </w:p>
        </w:tc>
        <w:tc>
          <w:tcPr>
            <w:tcW w:w="85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1</w:t>
            </w:r>
          </w:p>
        </w:tc>
        <w:tc>
          <w:tcPr>
            <w:tcW w:w="708" w:type="dxa"/>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共同</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知识</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产权</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
                <w:bCs/>
                <w:szCs w:val="21"/>
              </w:rPr>
              <w:t>秦广鹏</w:t>
            </w:r>
            <w:r>
              <w:rPr>
                <w:rFonts w:hint="eastAsia"/>
                <w:b/>
                <w:bCs/>
                <w:szCs w:val="21"/>
              </w:rPr>
              <w:t>（3）</w:t>
            </w:r>
            <w:r>
              <w:rPr>
                <w:rFonts w:hint="eastAsia"/>
                <w:szCs w:val="21"/>
              </w:rPr>
              <w:t>；</w:t>
            </w:r>
            <w:r>
              <w:rPr>
                <w:b/>
                <w:bCs/>
                <w:szCs w:val="21"/>
              </w:rPr>
              <w:t>蒋金泉</w:t>
            </w:r>
            <w:r>
              <w:rPr>
                <w:rFonts w:hint="eastAsia"/>
                <w:b/>
                <w:bCs/>
                <w:szCs w:val="21"/>
              </w:rPr>
              <w:t>（2）</w:t>
            </w:r>
            <w:r>
              <w:rPr>
                <w:rFonts w:hint="eastAsia"/>
                <w:szCs w:val="21"/>
              </w:rPr>
              <w:t>；</w:t>
            </w:r>
            <w:r>
              <w:rPr>
                <w:szCs w:val="21"/>
              </w:rPr>
              <w:t>曹静</w:t>
            </w:r>
            <w:r>
              <w:rPr>
                <w:rFonts w:hint="eastAsia"/>
                <w:szCs w:val="21"/>
              </w:rPr>
              <w:t>；</w:t>
            </w:r>
            <w:r>
              <w:rPr>
                <w:b/>
                <w:bCs/>
                <w:szCs w:val="21"/>
              </w:rPr>
              <w:t>张培鹏</w:t>
            </w:r>
            <w:r>
              <w:rPr>
                <w:rFonts w:hint="eastAsia"/>
                <w:b/>
                <w:bCs/>
                <w:szCs w:val="21"/>
              </w:rPr>
              <w:t>（</w:t>
            </w:r>
            <w:r>
              <w:rPr>
                <w:rFonts w:hint="eastAsia"/>
                <w:b/>
                <w:bCs/>
                <w:szCs w:val="21"/>
                <w:lang w:val="en-US" w:eastAsia="zh-CN"/>
              </w:rPr>
              <w:t>9</w:t>
            </w:r>
            <w:r>
              <w:rPr>
                <w:rFonts w:hint="eastAsia"/>
                <w:b/>
                <w:bCs/>
                <w:szCs w:val="21"/>
              </w:rPr>
              <w:t>）</w:t>
            </w:r>
            <w:r>
              <w:rPr>
                <w:szCs w:val="21"/>
              </w:rPr>
              <w:t xml:space="preserve"> </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2016.09</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一种高瓦斯采场坚硬顶板垮冒致燃瓦斯的防治方法</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2</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宋体"/>
                <w:bCs/>
                <w:szCs w:val="21"/>
                <w:lang w:eastAsia="zh-CN"/>
              </w:rPr>
            </w:pPr>
            <w:r>
              <w:rPr>
                <w:rFonts w:hint="eastAsia"/>
                <w:bCs/>
                <w:szCs w:val="21"/>
                <w:lang w:val="en-US" w:eastAsia="zh-CN"/>
              </w:rPr>
              <w:t>2</w:t>
            </w:r>
          </w:p>
        </w:tc>
        <w:tc>
          <w:tcPr>
            <w:tcW w:w="708" w:type="dxa"/>
            <w:vAlign w:val="top"/>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共同</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知识</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产权</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szCs w:val="21"/>
              </w:rPr>
              <w:t>马长青</w:t>
            </w:r>
            <w:r>
              <w:rPr>
                <w:rFonts w:hint="eastAsia"/>
                <w:b/>
                <w:bCs/>
                <w:szCs w:val="21"/>
                <w:lang w:eastAsia="zh-CN"/>
              </w:rPr>
              <w:t>（</w:t>
            </w:r>
            <w:r>
              <w:rPr>
                <w:rFonts w:hint="eastAsia"/>
                <w:b/>
                <w:bCs/>
                <w:szCs w:val="21"/>
                <w:lang w:val="en-US" w:eastAsia="zh-CN"/>
              </w:rPr>
              <w:t>7</w:t>
            </w:r>
            <w:r>
              <w:rPr>
                <w:rFonts w:hint="eastAsia"/>
                <w:b/>
                <w:bCs/>
                <w:szCs w:val="21"/>
                <w:lang w:eastAsia="zh-CN"/>
              </w:rPr>
              <w:t>）</w:t>
            </w:r>
            <w:r>
              <w:rPr>
                <w:rFonts w:hint="eastAsia"/>
                <w:szCs w:val="21"/>
              </w:rPr>
              <w:t>；刘登彪；</w:t>
            </w:r>
            <w:r>
              <w:rPr>
                <w:rFonts w:hint="eastAsia"/>
                <w:b/>
                <w:bCs/>
                <w:szCs w:val="21"/>
              </w:rPr>
              <w:t>蒋金泉（2）</w:t>
            </w:r>
            <w:r>
              <w:rPr>
                <w:rFonts w:hint="eastAsia"/>
                <w:szCs w:val="21"/>
              </w:rPr>
              <w:t>；</w:t>
            </w:r>
            <w:r>
              <w:rPr>
                <w:rFonts w:hint="eastAsia"/>
                <w:b/>
                <w:bCs/>
                <w:szCs w:val="21"/>
              </w:rPr>
              <w:t>秦广鹏（3）</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2017.12</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 xml:space="preserve">连续作业可变截面式临时支护支架及其操作方法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宋体"/>
                <w:bCs/>
                <w:szCs w:val="21"/>
                <w:lang w:eastAsia="zh-CN"/>
              </w:rPr>
            </w:pPr>
            <w:r>
              <w:rPr>
                <w:bCs/>
                <w:szCs w:val="21"/>
              </w:rPr>
              <w:t>附件</w:t>
            </w:r>
            <w:r>
              <w:rPr>
                <w:rFonts w:hint="eastAsia"/>
                <w:bCs/>
                <w:szCs w:val="21"/>
                <w:lang w:val="en-US" w:eastAsia="zh-CN"/>
              </w:rPr>
              <w:t>3</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宋体"/>
                <w:bCs/>
                <w:szCs w:val="21"/>
                <w:lang w:eastAsia="zh-CN"/>
              </w:rPr>
            </w:pPr>
            <w:r>
              <w:rPr>
                <w:rFonts w:hint="eastAsia"/>
                <w:bCs/>
                <w:szCs w:val="21"/>
                <w:lang w:val="en-US" w:eastAsia="zh-CN"/>
              </w:rPr>
              <w:t>3</w:t>
            </w:r>
          </w:p>
        </w:tc>
        <w:tc>
          <w:tcPr>
            <w:tcW w:w="708" w:type="dxa"/>
            <w:vAlign w:val="top"/>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共同</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知识</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产权</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szCs w:val="21"/>
              </w:rPr>
              <w:t>蒋金泉（2）</w:t>
            </w:r>
            <w:r>
              <w:rPr>
                <w:rFonts w:hint="eastAsia"/>
                <w:szCs w:val="21"/>
              </w:rPr>
              <w:t>；代进；王春耀；崔庆林；郑有雷；孙振中；桂兵；</w:t>
            </w:r>
            <w:r>
              <w:rPr>
                <w:rFonts w:hint="eastAsia"/>
                <w:b/>
                <w:bCs/>
                <w:szCs w:val="21"/>
              </w:rPr>
              <w:t>秦广鹏（3）</w:t>
            </w:r>
            <w:r>
              <w:rPr>
                <w:rFonts w:hint="eastAsia"/>
                <w:szCs w:val="21"/>
              </w:rPr>
              <w:t xml:space="preserve">；孟庆新 </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2019.03.29</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2"/>
              </w:rPr>
            </w:pPr>
            <w:r>
              <w:rPr>
                <w:rFonts w:hint="eastAsia"/>
                <w:szCs w:val="21"/>
              </w:rPr>
              <w:t>一种坚硬直接顶下大采高工作面沿空小煤柱巷道支护方法</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6</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宋体"/>
                <w:bCs/>
                <w:szCs w:val="21"/>
                <w:lang w:eastAsia="zh-CN"/>
              </w:rPr>
            </w:pPr>
            <w:r>
              <w:rPr>
                <w:rFonts w:hint="eastAsia"/>
                <w:bCs/>
                <w:szCs w:val="21"/>
                <w:lang w:val="en-US" w:eastAsia="zh-CN"/>
              </w:rPr>
              <w:t>4</w:t>
            </w:r>
          </w:p>
        </w:tc>
        <w:tc>
          <w:tcPr>
            <w:tcW w:w="708" w:type="dxa"/>
            <w:vAlign w:val="top"/>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共同</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知识</w:t>
            </w:r>
          </w:p>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szCs w:val="21"/>
              </w:rPr>
              <w:t>产权</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szCs w:val="21"/>
              </w:rPr>
              <w:t>马长青</w:t>
            </w:r>
            <w:r>
              <w:rPr>
                <w:rFonts w:hint="eastAsia"/>
                <w:b/>
                <w:bCs/>
                <w:szCs w:val="21"/>
                <w:lang w:eastAsia="zh-CN"/>
              </w:rPr>
              <w:t>（</w:t>
            </w:r>
            <w:r>
              <w:rPr>
                <w:rFonts w:hint="eastAsia"/>
                <w:b/>
                <w:bCs/>
                <w:szCs w:val="21"/>
                <w:lang w:val="en-US" w:eastAsia="zh-CN"/>
              </w:rPr>
              <w:t>7</w:t>
            </w:r>
            <w:r>
              <w:rPr>
                <w:rFonts w:hint="eastAsia"/>
                <w:b/>
                <w:bCs/>
                <w:szCs w:val="21"/>
                <w:lang w:eastAsia="zh-CN"/>
              </w:rPr>
              <w:t>）</w:t>
            </w:r>
            <w:r>
              <w:rPr>
                <w:rFonts w:hint="eastAsia"/>
                <w:b w:val="0"/>
                <w:bCs w:val="0"/>
                <w:szCs w:val="21"/>
              </w:rPr>
              <w:t>；</w:t>
            </w:r>
            <w:r>
              <w:rPr>
                <w:rFonts w:hint="eastAsia"/>
                <w:b/>
                <w:bCs/>
                <w:szCs w:val="21"/>
              </w:rPr>
              <w:t>蒋金泉（2）</w:t>
            </w:r>
            <w:r>
              <w:rPr>
                <w:rFonts w:hint="eastAsia"/>
                <w:szCs w:val="21"/>
              </w:rPr>
              <w:t>；刘登彪；</w:t>
            </w:r>
            <w:r>
              <w:rPr>
                <w:rFonts w:hint="eastAsia"/>
                <w:b/>
                <w:bCs/>
                <w:szCs w:val="21"/>
              </w:rPr>
              <w:t>秦广鹏（3）</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2017.12</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 xml:space="preserve">支撑掩护式交错滑移临时支护支架及其支护方法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8</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5</w:t>
            </w:r>
          </w:p>
        </w:tc>
        <w:tc>
          <w:tcPr>
            <w:tcW w:w="708" w:type="dxa"/>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rPr>
              <w:t>蒋金泉（2）</w:t>
            </w:r>
            <w:r>
              <w:rPr>
                <w:rFonts w:hint="eastAsia"/>
              </w:rPr>
              <w:t>；</w:t>
            </w:r>
            <w:r>
              <w:rPr>
                <w:rFonts w:hint="eastAsia"/>
                <w:b/>
                <w:bCs/>
              </w:rPr>
              <w:t>王普（1）</w:t>
            </w:r>
            <w:r>
              <w:rPr>
                <w:rFonts w:hint="eastAsia"/>
              </w:rPr>
              <w:t>；武泉林；</w:t>
            </w:r>
            <w:r>
              <w:rPr>
                <w:rFonts w:hint="eastAsia"/>
                <w:b/>
                <w:bCs/>
              </w:rPr>
              <w:t>张培鹏（</w:t>
            </w:r>
            <w:r>
              <w:rPr>
                <w:rFonts w:hint="eastAsia"/>
                <w:b/>
                <w:bCs/>
                <w:lang w:val="en-US" w:eastAsia="zh-CN"/>
              </w:rPr>
              <w:t>9</w:t>
            </w:r>
            <w:r>
              <w:rPr>
                <w:rFonts w:hint="eastAsia"/>
                <w:b/>
                <w:bCs/>
              </w:rPr>
              <w:t>）</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rPr>
              <w:t>2016.05</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2"/>
              </w:rPr>
            </w:pPr>
            <w:r>
              <w:t>高位硬厚岩层弹性基础边界下破断规律的演化特征</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11</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6</w:t>
            </w:r>
          </w:p>
        </w:tc>
        <w:tc>
          <w:tcPr>
            <w:tcW w:w="708" w:type="dxa"/>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
                <w:bCs/>
              </w:rPr>
              <w:t>许斌</w:t>
            </w:r>
            <w:r>
              <w:rPr>
                <w:rFonts w:hint="eastAsia"/>
                <w:b/>
                <w:bCs/>
              </w:rPr>
              <w:t>（</w:t>
            </w:r>
            <w:r>
              <w:rPr>
                <w:rFonts w:hint="eastAsia"/>
                <w:b/>
                <w:bCs/>
                <w:lang w:val="en-US" w:eastAsia="zh-CN"/>
              </w:rPr>
              <w:t>8</w:t>
            </w:r>
            <w:r>
              <w:rPr>
                <w:rFonts w:hint="eastAsia"/>
                <w:b/>
                <w:bCs/>
              </w:rPr>
              <w:t>）</w:t>
            </w:r>
            <w:r>
              <w:rPr>
                <w:rFonts w:hint="eastAsia"/>
              </w:rPr>
              <w:t>；</w:t>
            </w:r>
            <w:r>
              <w:rPr>
                <w:b/>
                <w:bCs/>
              </w:rPr>
              <w:t>蒋金泉</w:t>
            </w:r>
            <w:r>
              <w:rPr>
                <w:rFonts w:hint="eastAsia"/>
                <w:b/>
                <w:bCs/>
              </w:rPr>
              <w:t>（2）</w:t>
            </w:r>
            <w:r>
              <w:rPr>
                <w:rFonts w:hint="eastAsia"/>
              </w:rPr>
              <w:t>；</w:t>
            </w:r>
            <w:r>
              <w:t>代进</w:t>
            </w:r>
            <w:r>
              <w:rPr>
                <w:rFonts w:hint="eastAsia"/>
              </w:rPr>
              <w:t>；</w:t>
            </w:r>
            <w:r>
              <w:rPr>
                <w:b/>
                <w:bCs/>
              </w:rPr>
              <w:t>郑朋强</w:t>
            </w:r>
            <w:r>
              <w:rPr>
                <w:rFonts w:hint="eastAsia"/>
                <w:b/>
                <w:bCs/>
              </w:rPr>
              <w:t>（6）</w:t>
            </w:r>
            <w:r>
              <w:t xml:space="preserve"> </w:t>
            </w:r>
          </w:p>
        </w:tc>
        <w:tc>
          <w:tcPr>
            <w:tcW w:w="1007" w:type="dxa"/>
            <w:vAlign w:val="center"/>
          </w:tcPr>
          <w:p>
            <w:pPr>
              <w:keepNext w:val="0"/>
              <w:keepLines w:val="0"/>
              <w:pageBreakBefore w:val="0"/>
              <w:widowControl w:val="0"/>
              <w:kinsoku/>
              <w:wordWrap/>
              <w:overflowPunct/>
              <w:topLinePunct w:val="0"/>
              <w:autoSpaceDE/>
              <w:autoSpaceDN/>
              <w:bidi w:val="0"/>
              <w:adjustRightInd/>
              <w:snapToGrid/>
              <w:textAlignment w:val="auto"/>
              <w:rPr>
                <w:szCs w:val="21"/>
              </w:rPr>
            </w:pPr>
            <w:r>
              <w:rPr>
                <w:rFonts w:hint="eastAsia"/>
              </w:rPr>
              <w:t>2018.03</w:t>
            </w:r>
          </w:p>
        </w:tc>
        <w:tc>
          <w:tcPr>
            <w:tcW w:w="229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 w:val="22"/>
              </w:rPr>
            </w:pPr>
            <w:r>
              <w:t xml:space="preserve">采场上覆关键层破断角的力学推导和实验模拟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12</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7</w:t>
            </w:r>
          </w:p>
        </w:tc>
        <w:tc>
          <w:tcPr>
            <w:tcW w:w="708"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
                <w:bCs/>
              </w:rPr>
              <w:t>蒋金泉</w:t>
            </w:r>
            <w:r>
              <w:rPr>
                <w:rFonts w:hint="eastAsia"/>
                <w:b/>
                <w:bCs/>
              </w:rPr>
              <w:t>（2）</w:t>
            </w:r>
            <w:r>
              <w:rPr>
                <w:rFonts w:hint="eastAsia"/>
              </w:rPr>
              <w:t>；</w:t>
            </w:r>
            <w:r>
              <w:rPr>
                <w:b/>
                <w:bCs/>
              </w:rPr>
              <w:t>王普</w:t>
            </w:r>
            <w:r>
              <w:rPr>
                <w:rFonts w:hint="eastAsia"/>
                <w:b/>
                <w:bCs/>
              </w:rPr>
              <w:t>（1）</w:t>
            </w:r>
            <w:r>
              <w:rPr>
                <w:rFonts w:hint="eastAsia"/>
              </w:rPr>
              <w:t>；</w:t>
            </w:r>
            <w:r>
              <w:t>武泉林</w:t>
            </w:r>
            <w:r>
              <w:rPr>
                <w:rFonts w:hint="eastAsia"/>
              </w:rPr>
              <w:t>；</w:t>
            </w:r>
            <w:r>
              <w:rPr>
                <w:b/>
                <w:bCs/>
              </w:rPr>
              <w:t>张培鹏</w:t>
            </w:r>
            <w:r>
              <w:rPr>
                <w:rFonts w:hint="eastAsia"/>
                <w:b/>
                <w:bCs/>
              </w:rPr>
              <w:t>（</w:t>
            </w:r>
            <w:r>
              <w:rPr>
                <w:rFonts w:hint="eastAsia"/>
                <w:b/>
                <w:bCs/>
                <w:lang w:val="en-US" w:eastAsia="zh-CN"/>
              </w:rPr>
              <w:t>9</w:t>
            </w:r>
            <w:r>
              <w:rPr>
                <w:rFonts w:hint="eastAsia"/>
                <w:b/>
                <w:bCs/>
              </w:rPr>
              <w:t>）</w:t>
            </w:r>
            <w:r>
              <w:t xml:space="preserve"> </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rPr>
              <w:t>2015.10</w:t>
            </w:r>
          </w:p>
        </w:tc>
        <w:tc>
          <w:tcPr>
            <w:tcW w:w="2291" w:type="dxa"/>
            <w:vAlign w:val="center"/>
          </w:tcPr>
          <w:p>
            <w:pPr>
              <w:keepNext w:val="0"/>
              <w:keepLines w:val="0"/>
              <w:pageBreakBefore w:val="0"/>
              <w:widowControl w:val="0"/>
              <w:kinsoku/>
              <w:wordWrap/>
              <w:overflowPunct/>
              <w:topLinePunct w:val="0"/>
              <w:autoSpaceDE/>
              <w:autoSpaceDN/>
              <w:bidi w:val="0"/>
              <w:adjustRightInd/>
              <w:snapToGrid/>
              <w:textAlignment w:val="auto"/>
              <w:rPr>
                <w:szCs w:val="21"/>
              </w:rPr>
            </w:pPr>
            <w:r>
              <w:rPr>
                <w:rFonts w:hint="eastAsia"/>
              </w:rPr>
              <w:t xml:space="preserve">上覆高位岩浆岩下离层空间的演化规律及其预测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Cs/>
                <w:szCs w:val="21"/>
              </w:rPr>
              <w:t>附件</w:t>
            </w:r>
            <w:r>
              <w:rPr>
                <w:rFonts w:hint="eastAsia"/>
                <w:bCs/>
                <w:szCs w:val="21"/>
              </w:rPr>
              <w:t>15</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8</w:t>
            </w:r>
          </w:p>
        </w:tc>
        <w:tc>
          <w:tcPr>
            <w:tcW w:w="708"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rPr>
              <w:t>张培鹏（</w:t>
            </w:r>
            <w:r>
              <w:rPr>
                <w:rFonts w:hint="eastAsia"/>
                <w:b/>
                <w:bCs/>
                <w:lang w:val="en-US" w:eastAsia="zh-CN"/>
              </w:rPr>
              <w:t>9</w:t>
            </w:r>
            <w:r>
              <w:rPr>
                <w:rFonts w:hint="eastAsia"/>
                <w:b/>
                <w:bCs/>
              </w:rPr>
              <w:t>）</w:t>
            </w:r>
            <w:r>
              <w:rPr>
                <w:rFonts w:hint="eastAsia"/>
              </w:rPr>
              <w:t>；</w:t>
            </w:r>
            <w:r>
              <w:rPr>
                <w:b/>
                <w:bCs/>
              </w:rPr>
              <w:t>蒋金泉</w:t>
            </w:r>
            <w:r>
              <w:rPr>
                <w:rFonts w:hint="eastAsia"/>
                <w:b/>
                <w:bCs/>
              </w:rPr>
              <w:t>（2）</w:t>
            </w:r>
            <w:r>
              <w:rPr>
                <w:rFonts w:hint="eastAsia"/>
              </w:rPr>
              <w:t>；</w:t>
            </w:r>
            <w:r>
              <w:rPr>
                <w:rFonts w:hint="eastAsia"/>
                <w:b/>
                <w:bCs/>
              </w:rPr>
              <w:t>秦广鹏（3）</w:t>
            </w:r>
            <w:r>
              <w:rPr>
                <w:rFonts w:hint="eastAsia"/>
              </w:rPr>
              <w:t>；</w:t>
            </w:r>
            <w:r>
              <w:t xml:space="preserve">武泉林，许丽娜 </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rPr>
              <w:t>2014.09</w:t>
            </w:r>
          </w:p>
        </w:tc>
        <w:tc>
          <w:tcPr>
            <w:tcW w:w="2291" w:type="dxa"/>
            <w:vAlign w:val="center"/>
          </w:tcPr>
          <w:p>
            <w:pPr>
              <w:keepNext w:val="0"/>
              <w:keepLines w:val="0"/>
              <w:pageBreakBefore w:val="0"/>
              <w:widowControl w:val="0"/>
              <w:kinsoku/>
              <w:wordWrap/>
              <w:overflowPunct/>
              <w:topLinePunct w:val="0"/>
              <w:autoSpaceDE/>
              <w:autoSpaceDN/>
              <w:bidi w:val="0"/>
              <w:adjustRightInd/>
              <w:snapToGrid/>
              <w:textAlignment w:val="auto"/>
              <w:rPr>
                <w:szCs w:val="21"/>
              </w:rPr>
            </w:pPr>
            <w:r>
              <w:rPr>
                <w:rFonts w:hint="eastAsia"/>
              </w:rPr>
              <w:t>坚硬顶板垮落诱发瓦斯爆燃机理及预防</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Cs/>
                <w:szCs w:val="21"/>
              </w:rPr>
              <w:t>附件</w:t>
            </w:r>
            <w:r>
              <w:rPr>
                <w:rFonts w:hint="eastAsia"/>
                <w:bCs/>
                <w:szCs w:val="21"/>
              </w:rPr>
              <w:t>16</w:t>
            </w:r>
          </w:p>
        </w:tc>
        <w:tc>
          <w:tcPr>
            <w:tcW w:w="85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9</w:t>
            </w:r>
          </w:p>
        </w:tc>
        <w:tc>
          <w:tcPr>
            <w:tcW w:w="708"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b/>
                <w:bCs/>
              </w:rPr>
              <w:t>蒋金泉（2）</w:t>
            </w:r>
            <w:r>
              <w:rPr>
                <w:rFonts w:hint="eastAsia"/>
              </w:rPr>
              <w:t>；</w:t>
            </w:r>
            <w:r>
              <w:rPr>
                <w:rFonts w:hint="eastAsia"/>
                <w:b/>
                <w:bCs/>
              </w:rPr>
              <w:t>许斌（</w:t>
            </w:r>
            <w:r>
              <w:rPr>
                <w:rFonts w:hint="eastAsia"/>
                <w:b/>
                <w:bCs/>
                <w:lang w:val="en-US" w:eastAsia="zh-CN"/>
              </w:rPr>
              <w:t>8</w:t>
            </w:r>
            <w:r>
              <w:rPr>
                <w:rFonts w:hint="eastAsia"/>
                <w:b/>
                <w:bCs/>
              </w:rPr>
              <w:t>）</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rPr>
              <w:t>2017.11</w:t>
            </w:r>
          </w:p>
        </w:tc>
        <w:tc>
          <w:tcPr>
            <w:tcW w:w="2291" w:type="dxa"/>
            <w:vAlign w:val="center"/>
          </w:tcPr>
          <w:p>
            <w:pPr>
              <w:keepNext w:val="0"/>
              <w:keepLines w:val="0"/>
              <w:pageBreakBefore w:val="0"/>
              <w:widowControl w:val="0"/>
              <w:kinsoku/>
              <w:wordWrap/>
              <w:overflowPunct/>
              <w:topLinePunct w:val="0"/>
              <w:autoSpaceDE/>
              <w:autoSpaceDN/>
              <w:bidi w:val="0"/>
              <w:adjustRightInd/>
              <w:snapToGrid/>
              <w:textAlignment w:val="auto"/>
              <w:rPr>
                <w:szCs w:val="21"/>
              </w:rPr>
            </w:pPr>
            <w:r>
              <w:rPr>
                <w:rFonts w:hint="eastAsia"/>
              </w:rPr>
              <w:t xml:space="preserve">Study on the development laws of bed-separation under the hard-thick magmatic rock and its fracture disaster-causing mechanism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19</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4"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10</w:t>
            </w:r>
          </w:p>
        </w:tc>
        <w:tc>
          <w:tcPr>
            <w:tcW w:w="708" w:type="dxa"/>
          </w:tcPr>
          <w:p>
            <w:pPr>
              <w:keepNext w:val="0"/>
              <w:keepLines w:val="0"/>
              <w:pageBreakBefore w:val="0"/>
              <w:widowControl w:val="0"/>
              <w:kinsoku/>
              <w:wordWrap/>
              <w:overflowPunct/>
              <w:topLinePunct w:val="0"/>
              <w:autoSpaceDE/>
              <w:autoSpaceDN/>
              <w:bidi w:val="0"/>
              <w:adjustRightInd/>
              <w:snapToGrid/>
              <w:textAlignment w:val="auto"/>
              <w:rPr>
                <w:szCs w:val="21"/>
              </w:rPr>
            </w:pPr>
            <w:r>
              <w:rPr>
                <w:rFonts w:hint="eastAsia"/>
                <w:szCs w:val="21"/>
              </w:rPr>
              <w:t>论文专著</w:t>
            </w:r>
          </w:p>
        </w:tc>
        <w:tc>
          <w:tcPr>
            <w:tcW w:w="2939"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b/>
                <w:bCs/>
              </w:rPr>
              <w:t>蒋金泉</w:t>
            </w:r>
            <w:r>
              <w:rPr>
                <w:rFonts w:hint="eastAsia"/>
                <w:b/>
                <w:bCs/>
              </w:rPr>
              <w:t>（2）</w:t>
            </w:r>
            <w:r>
              <w:rPr>
                <w:rFonts w:hint="eastAsia"/>
              </w:rPr>
              <w:t>；</w:t>
            </w:r>
            <w:r>
              <w:rPr>
                <w:b/>
                <w:bCs/>
              </w:rPr>
              <w:t>王普</w:t>
            </w:r>
            <w:r>
              <w:rPr>
                <w:rFonts w:hint="eastAsia"/>
                <w:b/>
                <w:bCs/>
              </w:rPr>
              <w:t>（1）</w:t>
            </w:r>
            <w:r>
              <w:rPr>
                <w:rFonts w:hint="eastAsia"/>
              </w:rPr>
              <w:t>；</w:t>
            </w:r>
            <w:r>
              <w:rPr>
                <w:b/>
                <w:bCs/>
              </w:rPr>
              <w:t>郑朋强</w:t>
            </w:r>
            <w:r>
              <w:rPr>
                <w:rFonts w:hint="eastAsia"/>
                <w:b/>
                <w:bCs/>
              </w:rPr>
              <w:t>（6）</w:t>
            </w:r>
            <w:r>
              <w:rPr>
                <w:rFonts w:hint="eastAsia"/>
              </w:rPr>
              <w:t>；</w:t>
            </w:r>
            <w:r>
              <w:t>武泉林</w:t>
            </w:r>
          </w:p>
        </w:tc>
        <w:tc>
          <w:tcPr>
            <w:tcW w:w="1007"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szCs w:val="21"/>
              </w:rPr>
            </w:pPr>
            <w:r>
              <w:rPr>
                <w:rFonts w:hint="eastAsia"/>
              </w:rPr>
              <w:t>2017.07</w:t>
            </w:r>
          </w:p>
        </w:tc>
        <w:tc>
          <w:tcPr>
            <w:tcW w:w="2291" w:type="dxa"/>
            <w:vAlign w:val="center"/>
          </w:tcPr>
          <w:p>
            <w:pPr>
              <w:keepNext w:val="0"/>
              <w:keepLines w:val="0"/>
              <w:pageBreakBefore w:val="0"/>
              <w:widowControl w:val="0"/>
              <w:kinsoku/>
              <w:wordWrap/>
              <w:overflowPunct/>
              <w:topLinePunct w:val="0"/>
              <w:autoSpaceDE/>
              <w:autoSpaceDN/>
              <w:bidi w:val="0"/>
              <w:adjustRightInd/>
              <w:snapToGrid/>
              <w:textAlignment w:val="auto"/>
              <w:rPr>
                <w:szCs w:val="21"/>
              </w:rPr>
            </w:pPr>
            <w:r>
              <w:t xml:space="preserve">高位硬厚岩层下采动裂隙和支承应力演化特征及其对瓦斯运移的影响 </w:t>
            </w:r>
          </w:p>
        </w:tc>
        <w:tc>
          <w:tcPr>
            <w:tcW w:w="851"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bCs/>
                <w:szCs w:val="21"/>
              </w:rPr>
            </w:pPr>
            <w:r>
              <w:rPr>
                <w:bCs/>
                <w:szCs w:val="21"/>
              </w:rPr>
              <w:t>附件</w:t>
            </w:r>
            <w:r>
              <w:rPr>
                <w:rFonts w:hint="eastAsia"/>
                <w:bCs/>
                <w:szCs w:val="21"/>
              </w:rPr>
              <w:t>20</w:t>
            </w:r>
          </w:p>
        </w:tc>
        <w:tc>
          <w:tcPr>
            <w:tcW w:w="850" w:type="dxa"/>
          </w:tcPr>
          <w:p>
            <w:pPr>
              <w:keepNext w:val="0"/>
              <w:keepLines w:val="0"/>
              <w:pageBreakBefore w:val="0"/>
              <w:widowControl w:val="0"/>
              <w:kinsoku/>
              <w:wordWrap/>
              <w:overflowPunct/>
              <w:topLinePunct w:val="0"/>
              <w:autoSpaceDE/>
              <w:autoSpaceDN/>
              <w:bidi w:val="0"/>
              <w:adjustRightInd/>
              <w:snapToGrid/>
              <w:textAlignment w:val="auto"/>
              <w:rPr>
                <w:b/>
                <w:bCs/>
                <w:szCs w:val="21"/>
              </w:rPr>
            </w:pPr>
          </w:p>
        </w:tc>
      </w:tr>
    </w:tbl>
    <w:p>
      <w:pPr>
        <w:adjustRightInd w:val="0"/>
        <w:snapToGrid w:val="0"/>
        <w:spacing w:line="360" w:lineRule="auto"/>
        <w:rPr>
          <w:rFonts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C446A"/>
    <w:rsid w:val="00013BEF"/>
    <w:rsid w:val="00020B9F"/>
    <w:rsid w:val="0002155F"/>
    <w:rsid w:val="00021696"/>
    <w:rsid w:val="00025AB3"/>
    <w:rsid w:val="00034098"/>
    <w:rsid w:val="000409E9"/>
    <w:rsid w:val="00057E31"/>
    <w:rsid w:val="00085E10"/>
    <w:rsid w:val="00095BC7"/>
    <w:rsid w:val="000A6F5D"/>
    <w:rsid w:val="000A72AC"/>
    <w:rsid w:val="000C0AEA"/>
    <w:rsid w:val="000C4D52"/>
    <w:rsid w:val="000C4EDF"/>
    <w:rsid w:val="000D0417"/>
    <w:rsid w:val="000D6E1C"/>
    <w:rsid w:val="000E52FE"/>
    <w:rsid w:val="000F021E"/>
    <w:rsid w:val="000F68D5"/>
    <w:rsid w:val="001053B7"/>
    <w:rsid w:val="00110607"/>
    <w:rsid w:val="0011464E"/>
    <w:rsid w:val="00117FDE"/>
    <w:rsid w:val="00122B11"/>
    <w:rsid w:val="0012768E"/>
    <w:rsid w:val="00130112"/>
    <w:rsid w:val="001621D1"/>
    <w:rsid w:val="0016393A"/>
    <w:rsid w:val="00170665"/>
    <w:rsid w:val="0017603B"/>
    <w:rsid w:val="00196E0B"/>
    <w:rsid w:val="001A003D"/>
    <w:rsid w:val="001A0452"/>
    <w:rsid w:val="001B7B0E"/>
    <w:rsid w:val="001C088F"/>
    <w:rsid w:val="001D04D0"/>
    <w:rsid w:val="001D7068"/>
    <w:rsid w:val="001E678E"/>
    <w:rsid w:val="001F48D2"/>
    <w:rsid w:val="002019B1"/>
    <w:rsid w:val="0020607E"/>
    <w:rsid w:val="00217033"/>
    <w:rsid w:val="002218BD"/>
    <w:rsid w:val="002319E0"/>
    <w:rsid w:val="00232CE5"/>
    <w:rsid w:val="00243291"/>
    <w:rsid w:val="00246993"/>
    <w:rsid w:val="00253419"/>
    <w:rsid w:val="002857BA"/>
    <w:rsid w:val="00287082"/>
    <w:rsid w:val="00287AD2"/>
    <w:rsid w:val="0029186B"/>
    <w:rsid w:val="00292DFD"/>
    <w:rsid w:val="002934A4"/>
    <w:rsid w:val="002A1DC1"/>
    <w:rsid w:val="002A3226"/>
    <w:rsid w:val="002C41DD"/>
    <w:rsid w:val="002C5494"/>
    <w:rsid w:val="002E6634"/>
    <w:rsid w:val="002F33D4"/>
    <w:rsid w:val="002F4AB0"/>
    <w:rsid w:val="002F5C1F"/>
    <w:rsid w:val="00312916"/>
    <w:rsid w:val="00323480"/>
    <w:rsid w:val="0032369A"/>
    <w:rsid w:val="003250E3"/>
    <w:rsid w:val="00333E46"/>
    <w:rsid w:val="00336DE9"/>
    <w:rsid w:val="0035290D"/>
    <w:rsid w:val="0035334F"/>
    <w:rsid w:val="0035790A"/>
    <w:rsid w:val="00384C41"/>
    <w:rsid w:val="00385121"/>
    <w:rsid w:val="003A1BE6"/>
    <w:rsid w:val="003A6DAC"/>
    <w:rsid w:val="003B77D2"/>
    <w:rsid w:val="003C2F9F"/>
    <w:rsid w:val="003C4BC5"/>
    <w:rsid w:val="003C5C19"/>
    <w:rsid w:val="003C76F6"/>
    <w:rsid w:val="003D793C"/>
    <w:rsid w:val="003E3A84"/>
    <w:rsid w:val="00406BB6"/>
    <w:rsid w:val="0041146D"/>
    <w:rsid w:val="0041541B"/>
    <w:rsid w:val="00440762"/>
    <w:rsid w:val="004414F2"/>
    <w:rsid w:val="00450D5A"/>
    <w:rsid w:val="004800DE"/>
    <w:rsid w:val="004926E6"/>
    <w:rsid w:val="0049388C"/>
    <w:rsid w:val="004976AB"/>
    <w:rsid w:val="004B67C3"/>
    <w:rsid w:val="004C446A"/>
    <w:rsid w:val="004F6EC6"/>
    <w:rsid w:val="005121F1"/>
    <w:rsid w:val="00513E34"/>
    <w:rsid w:val="00520B70"/>
    <w:rsid w:val="005332A5"/>
    <w:rsid w:val="00534785"/>
    <w:rsid w:val="005432FD"/>
    <w:rsid w:val="00571694"/>
    <w:rsid w:val="00576185"/>
    <w:rsid w:val="005A4D5F"/>
    <w:rsid w:val="005B3B92"/>
    <w:rsid w:val="005B5B71"/>
    <w:rsid w:val="005D5249"/>
    <w:rsid w:val="005D5ABE"/>
    <w:rsid w:val="005E0E8D"/>
    <w:rsid w:val="005E15DD"/>
    <w:rsid w:val="005F1589"/>
    <w:rsid w:val="00604053"/>
    <w:rsid w:val="00607B48"/>
    <w:rsid w:val="00611AAF"/>
    <w:rsid w:val="00614599"/>
    <w:rsid w:val="00635179"/>
    <w:rsid w:val="00670CC7"/>
    <w:rsid w:val="00675455"/>
    <w:rsid w:val="00696891"/>
    <w:rsid w:val="00696DC1"/>
    <w:rsid w:val="00697870"/>
    <w:rsid w:val="00697AFC"/>
    <w:rsid w:val="006A0117"/>
    <w:rsid w:val="006A40EA"/>
    <w:rsid w:val="006A4341"/>
    <w:rsid w:val="006A4456"/>
    <w:rsid w:val="006B2BB0"/>
    <w:rsid w:val="006B2C62"/>
    <w:rsid w:val="006B3E8A"/>
    <w:rsid w:val="006D0F89"/>
    <w:rsid w:val="006D24CA"/>
    <w:rsid w:val="006D257B"/>
    <w:rsid w:val="006D32D1"/>
    <w:rsid w:val="006D597A"/>
    <w:rsid w:val="006E4575"/>
    <w:rsid w:val="006E6319"/>
    <w:rsid w:val="006F4A2B"/>
    <w:rsid w:val="006F6A66"/>
    <w:rsid w:val="00710530"/>
    <w:rsid w:val="00713940"/>
    <w:rsid w:val="0072049F"/>
    <w:rsid w:val="0072565D"/>
    <w:rsid w:val="00755943"/>
    <w:rsid w:val="00762151"/>
    <w:rsid w:val="007665E4"/>
    <w:rsid w:val="00770756"/>
    <w:rsid w:val="00783AD2"/>
    <w:rsid w:val="007C311A"/>
    <w:rsid w:val="007D49BD"/>
    <w:rsid w:val="007E73F4"/>
    <w:rsid w:val="007F1591"/>
    <w:rsid w:val="007F3E2C"/>
    <w:rsid w:val="007F7B6F"/>
    <w:rsid w:val="00812F8F"/>
    <w:rsid w:val="00844985"/>
    <w:rsid w:val="00865758"/>
    <w:rsid w:val="00866E4C"/>
    <w:rsid w:val="00876027"/>
    <w:rsid w:val="00881A11"/>
    <w:rsid w:val="0088462F"/>
    <w:rsid w:val="008960C5"/>
    <w:rsid w:val="008B7D33"/>
    <w:rsid w:val="008C32B8"/>
    <w:rsid w:val="008C5014"/>
    <w:rsid w:val="008E0F03"/>
    <w:rsid w:val="008E7E0F"/>
    <w:rsid w:val="008F0E4B"/>
    <w:rsid w:val="008F1FCF"/>
    <w:rsid w:val="008F5C41"/>
    <w:rsid w:val="00923C61"/>
    <w:rsid w:val="00924CC2"/>
    <w:rsid w:val="00933BE5"/>
    <w:rsid w:val="0093781F"/>
    <w:rsid w:val="0094377E"/>
    <w:rsid w:val="00957B09"/>
    <w:rsid w:val="00963035"/>
    <w:rsid w:val="00970915"/>
    <w:rsid w:val="009718B6"/>
    <w:rsid w:val="0097219E"/>
    <w:rsid w:val="00976D80"/>
    <w:rsid w:val="009971A7"/>
    <w:rsid w:val="009B012F"/>
    <w:rsid w:val="009C353C"/>
    <w:rsid w:val="009C5E23"/>
    <w:rsid w:val="009F6B71"/>
    <w:rsid w:val="00A06DA9"/>
    <w:rsid w:val="00A11630"/>
    <w:rsid w:val="00A17D58"/>
    <w:rsid w:val="00A20298"/>
    <w:rsid w:val="00A54343"/>
    <w:rsid w:val="00A57838"/>
    <w:rsid w:val="00A7581E"/>
    <w:rsid w:val="00A948D6"/>
    <w:rsid w:val="00A957BB"/>
    <w:rsid w:val="00AA6070"/>
    <w:rsid w:val="00AC1D37"/>
    <w:rsid w:val="00AD056D"/>
    <w:rsid w:val="00AD3C87"/>
    <w:rsid w:val="00AD5CEC"/>
    <w:rsid w:val="00AD7EC0"/>
    <w:rsid w:val="00AE2E11"/>
    <w:rsid w:val="00B0297D"/>
    <w:rsid w:val="00B116A0"/>
    <w:rsid w:val="00B23C07"/>
    <w:rsid w:val="00B46512"/>
    <w:rsid w:val="00B47E8C"/>
    <w:rsid w:val="00B54CAB"/>
    <w:rsid w:val="00B600DC"/>
    <w:rsid w:val="00B65232"/>
    <w:rsid w:val="00B67B52"/>
    <w:rsid w:val="00B70F42"/>
    <w:rsid w:val="00B75832"/>
    <w:rsid w:val="00B80E79"/>
    <w:rsid w:val="00B9704D"/>
    <w:rsid w:val="00BC0A25"/>
    <w:rsid w:val="00BD034B"/>
    <w:rsid w:val="00BE2438"/>
    <w:rsid w:val="00BF33B9"/>
    <w:rsid w:val="00C02ECD"/>
    <w:rsid w:val="00C10E63"/>
    <w:rsid w:val="00C1181F"/>
    <w:rsid w:val="00C14AA1"/>
    <w:rsid w:val="00C20825"/>
    <w:rsid w:val="00C24928"/>
    <w:rsid w:val="00C44311"/>
    <w:rsid w:val="00C534DA"/>
    <w:rsid w:val="00C608FE"/>
    <w:rsid w:val="00C62E0B"/>
    <w:rsid w:val="00C75DBC"/>
    <w:rsid w:val="00C80590"/>
    <w:rsid w:val="00C94A8A"/>
    <w:rsid w:val="00CB5FC8"/>
    <w:rsid w:val="00CC4B48"/>
    <w:rsid w:val="00CE7C52"/>
    <w:rsid w:val="00CF2C47"/>
    <w:rsid w:val="00D100F9"/>
    <w:rsid w:val="00D209DD"/>
    <w:rsid w:val="00D22031"/>
    <w:rsid w:val="00D35091"/>
    <w:rsid w:val="00D42632"/>
    <w:rsid w:val="00D4389A"/>
    <w:rsid w:val="00D43F4B"/>
    <w:rsid w:val="00D76837"/>
    <w:rsid w:val="00D80E1F"/>
    <w:rsid w:val="00D95454"/>
    <w:rsid w:val="00DA1087"/>
    <w:rsid w:val="00DA430E"/>
    <w:rsid w:val="00DA6797"/>
    <w:rsid w:val="00DD02E2"/>
    <w:rsid w:val="00DE26C8"/>
    <w:rsid w:val="00DE2923"/>
    <w:rsid w:val="00DE4AE7"/>
    <w:rsid w:val="00DE6029"/>
    <w:rsid w:val="00DF2EA0"/>
    <w:rsid w:val="00DF513C"/>
    <w:rsid w:val="00DF7E2E"/>
    <w:rsid w:val="00E02AFD"/>
    <w:rsid w:val="00E17EB2"/>
    <w:rsid w:val="00E23EA3"/>
    <w:rsid w:val="00E44642"/>
    <w:rsid w:val="00E60846"/>
    <w:rsid w:val="00E70D17"/>
    <w:rsid w:val="00E716DE"/>
    <w:rsid w:val="00E92C53"/>
    <w:rsid w:val="00E942A6"/>
    <w:rsid w:val="00EA1E6E"/>
    <w:rsid w:val="00EA2CBB"/>
    <w:rsid w:val="00EB6439"/>
    <w:rsid w:val="00ED5B7C"/>
    <w:rsid w:val="00EE1D60"/>
    <w:rsid w:val="00EF2006"/>
    <w:rsid w:val="00F0328F"/>
    <w:rsid w:val="00F13420"/>
    <w:rsid w:val="00F20140"/>
    <w:rsid w:val="00F208F2"/>
    <w:rsid w:val="00F2117C"/>
    <w:rsid w:val="00F217D4"/>
    <w:rsid w:val="00F33430"/>
    <w:rsid w:val="00F359BD"/>
    <w:rsid w:val="00F44EAD"/>
    <w:rsid w:val="00F45729"/>
    <w:rsid w:val="00F56B44"/>
    <w:rsid w:val="00F601A4"/>
    <w:rsid w:val="00F70D1B"/>
    <w:rsid w:val="00F744B7"/>
    <w:rsid w:val="00FA3B1F"/>
    <w:rsid w:val="00FB60FF"/>
    <w:rsid w:val="00FD0342"/>
    <w:rsid w:val="00FD7D23"/>
    <w:rsid w:val="00FE1927"/>
    <w:rsid w:val="00FE7031"/>
    <w:rsid w:val="015D6DC1"/>
    <w:rsid w:val="015F1ACB"/>
    <w:rsid w:val="01877C37"/>
    <w:rsid w:val="019831DA"/>
    <w:rsid w:val="021F35B3"/>
    <w:rsid w:val="02310836"/>
    <w:rsid w:val="026E7C4B"/>
    <w:rsid w:val="026F094F"/>
    <w:rsid w:val="035A2F5C"/>
    <w:rsid w:val="039344FD"/>
    <w:rsid w:val="03965B18"/>
    <w:rsid w:val="03A155EA"/>
    <w:rsid w:val="03F9600E"/>
    <w:rsid w:val="03FE0548"/>
    <w:rsid w:val="041E59B5"/>
    <w:rsid w:val="042E3562"/>
    <w:rsid w:val="043C5BC6"/>
    <w:rsid w:val="0466088B"/>
    <w:rsid w:val="04863882"/>
    <w:rsid w:val="052B6AEB"/>
    <w:rsid w:val="05373EC2"/>
    <w:rsid w:val="05855446"/>
    <w:rsid w:val="06004760"/>
    <w:rsid w:val="064E3F7D"/>
    <w:rsid w:val="06552E67"/>
    <w:rsid w:val="065C735A"/>
    <w:rsid w:val="06C85138"/>
    <w:rsid w:val="06E30871"/>
    <w:rsid w:val="070470BD"/>
    <w:rsid w:val="070C5FDA"/>
    <w:rsid w:val="071C2FFD"/>
    <w:rsid w:val="07363A4F"/>
    <w:rsid w:val="073C6364"/>
    <w:rsid w:val="087A3A91"/>
    <w:rsid w:val="08C22D53"/>
    <w:rsid w:val="08DC444F"/>
    <w:rsid w:val="08EA667A"/>
    <w:rsid w:val="090526BE"/>
    <w:rsid w:val="0906358A"/>
    <w:rsid w:val="096306FD"/>
    <w:rsid w:val="09AB6E3C"/>
    <w:rsid w:val="09F332F2"/>
    <w:rsid w:val="0A0B0118"/>
    <w:rsid w:val="0AB049E6"/>
    <w:rsid w:val="0ABE6895"/>
    <w:rsid w:val="0ACB31D5"/>
    <w:rsid w:val="0AF3108E"/>
    <w:rsid w:val="0AFB277F"/>
    <w:rsid w:val="0B51755A"/>
    <w:rsid w:val="0B770422"/>
    <w:rsid w:val="0B905C22"/>
    <w:rsid w:val="0BB30443"/>
    <w:rsid w:val="0BFC3D7B"/>
    <w:rsid w:val="0CDB677C"/>
    <w:rsid w:val="0D394AC6"/>
    <w:rsid w:val="0D987DF0"/>
    <w:rsid w:val="0DD17131"/>
    <w:rsid w:val="0DFD3477"/>
    <w:rsid w:val="0E885BEF"/>
    <w:rsid w:val="0EAF19EC"/>
    <w:rsid w:val="0EE56D6C"/>
    <w:rsid w:val="0FBB3493"/>
    <w:rsid w:val="0FC410AD"/>
    <w:rsid w:val="0FC5743D"/>
    <w:rsid w:val="0FEA4CDF"/>
    <w:rsid w:val="1079395B"/>
    <w:rsid w:val="107E71CD"/>
    <w:rsid w:val="109147AA"/>
    <w:rsid w:val="10E26042"/>
    <w:rsid w:val="11834CA7"/>
    <w:rsid w:val="11923628"/>
    <w:rsid w:val="119C52E1"/>
    <w:rsid w:val="11A30E50"/>
    <w:rsid w:val="11BC0F23"/>
    <w:rsid w:val="11CB1A66"/>
    <w:rsid w:val="11CD6159"/>
    <w:rsid w:val="11EB6595"/>
    <w:rsid w:val="1207479E"/>
    <w:rsid w:val="120B275C"/>
    <w:rsid w:val="122B10AD"/>
    <w:rsid w:val="124E5CB9"/>
    <w:rsid w:val="125A0D40"/>
    <w:rsid w:val="12A51793"/>
    <w:rsid w:val="12A60AF4"/>
    <w:rsid w:val="12B64D7D"/>
    <w:rsid w:val="134F745A"/>
    <w:rsid w:val="138E66D7"/>
    <w:rsid w:val="13A96B29"/>
    <w:rsid w:val="13AE1F96"/>
    <w:rsid w:val="13BC41AB"/>
    <w:rsid w:val="13EF2F70"/>
    <w:rsid w:val="14EF03EA"/>
    <w:rsid w:val="14F61ACF"/>
    <w:rsid w:val="15013ADB"/>
    <w:rsid w:val="15083CC8"/>
    <w:rsid w:val="1511231D"/>
    <w:rsid w:val="153B4BA0"/>
    <w:rsid w:val="157E6BAA"/>
    <w:rsid w:val="15866FB9"/>
    <w:rsid w:val="15B44FAE"/>
    <w:rsid w:val="15F15C31"/>
    <w:rsid w:val="15FD1CD1"/>
    <w:rsid w:val="160D6F56"/>
    <w:rsid w:val="162C0FE3"/>
    <w:rsid w:val="166755CA"/>
    <w:rsid w:val="1689194E"/>
    <w:rsid w:val="16CF4E84"/>
    <w:rsid w:val="17073040"/>
    <w:rsid w:val="17A77192"/>
    <w:rsid w:val="17C50FE5"/>
    <w:rsid w:val="1817135D"/>
    <w:rsid w:val="18571DA4"/>
    <w:rsid w:val="1895201A"/>
    <w:rsid w:val="18B20332"/>
    <w:rsid w:val="18C83CE2"/>
    <w:rsid w:val="19431C6D"/>
    <w:rsid w:val="19A10BB5"/>
    <w:rsid w:val="1A827FF4"/>
    <w:rsid w:val="1B1A77CA"/>
    <w:rsid w:val="1B295A46"/>
    <w:rsid w:val="1B2C1E49"/>
    <w:rsid w:val="1B2E194B"/>
    <w:rsid w:val="1B3D14D0"/>
    <w:rsid w:val="1B507E93"/>
    <w:rsid w:val="1B617D59"/>
    <w:rsid w:val="1B7F7516"/>
    <w:rsid w:val="1BF24C81"/>
    <w:rsid w:val="1C2C3B5F"/>
    <w:rsid w:val="1C546A6C"/>
    <w:rsid w:val="1CB16F07"/>
    <w:rsid w:val="1CD42D8A"/>
    <w:rsid w:val="1D1A2DF1"/>
    <w:rsid w:val="1DC92AFC"/>
    <w:rsid w:val="1E0453B9"/>
    <w:rsid w:val="1E78446C"/>
    <w:rsid w:val="1E8E0C8C"/>
    <w:rsid w:val="1E9A3F04"/>
    <w:rsid w:val="1ED51A55"/>
    <w:rsid w:val="1EEA38E5"/>
    <w:rsid w:val="1EFB4D4F"/>
    <w:rsid w:val="1F182177"/>
    <w:rsid w:val="1F271DCF"/>
    <w:rsid w:val="1F9663B7"/>
    <w:rsid w:val="1FB25428"/>
    <w:rsid w:val="2020159F"/>
    <w:rsid w:val="208B0624"/>
    <w:rsid w:val="209C7FF4"/>
    <w:rsid w:val="20DE47C8"/>
    <w:rsid w:val="20E81E7C"/>
    <w:rsid w:val="21021B57"/>
    <w:rsid w:val="214368D0"/>
    <w:rsid w:val="21E66F98"/>
    <w:rsid w:val="225A1E37"/>
    <w:rsid w:val="22BA0E7E"/>
    <w:rsid w:val="22BB18BC"/>
    <w:rsid w:val="22D824D8"/>
    <w:rsid w:val="23002899"/>
    <w:rsid w:val="230A270B"/>
    <w:rsid w:val="2391112A"/>
    <w:rsid w:val="240941C8"/>
    <w:rsid w:val="241A2511"/>
    <w:rsid w:val="24687490"/>
    <w:rsid w:val="246A1921"/>
    <w:rsid w:val="247E6313"/>
    <w:rsid w:val="24F657BE"/>
    <w:rsid w:val="2500514C"/>
    <w:rsid w:val="250301EF"/>
    <w:rsid w:val="25163135"/>
    <w:rsid w:val="2542677E"/>
    <w:rsid w:val="257B1333"/>
    <w:rsid w:val="259B2DE3"/>
    <w:rsid w:val="25FA1AFA"/>
    <w:rsid w:val="261A2968"/>
    <w:rsid w:val="269419AB"/>
    <w:rsid w:val="26AF561D"/>
    <w:rsid w:val="27A423C6"/>
    <w:rsid w:val="27F5657C"/>
    <w:rsid w:val="28B1110E"/>
    <w:rsid w:val="28C76BD6"/>
    <w:rsid w:val="28F270BC"/>
    <w:rsid w:val="290366E3"/>
    <w:rsid w:val="29194994"/>
    <w:rsid w:val="29245B11"/>
    <w:rsid w:val="294B73F4"/>
    <w:rsid w:val="296A1854"/>
    <w:rsid w:val="299C73FF"/>
    <w:rsid w:val="29A33A5E"/>
    <w:rsid w:val="29AE1CF8"/>
    <w:rsid w:val="29B92BC0"/>
    <w:rsid w:val="29D8425A"/>
    <w:rsid w:val="29F175A0"/>
    <w:rsid w:val="2A241BA1"/>
    <w:rsid w:val="2A5635FB"/>
    <w:rsid w:val="2A75292F"/>
    <w:rsid w:val="2A874CC0"/>
    <w:rsid w:val="2AA05A90"/>
    <w:rsid w:val="2B083092"/>
    <w:rsid w:val="2B22648C"/>
    <w:rsid w:val="2B8236CB"/>
    <w:rsid w:val="2C472F92"/>
    <w:rsid w:val="2C881BF2"/>
    <w:rsid w:val="2D0206B2"/>
    <w:rsid w:val="2D176174"/>
    <w:rsid w:val="2D373C22"/>
    <w:rsid w:val="2E0214BB"/>
    <w:rsid w:val="2E4A4568"/>
    <w:rsid w:val="2E70738A"/>
    <w:rsid w:val="2E7A46ED"/>
    <w:rsid w:val="2EAA3DD0"/>
    <w:rsid w:val="2EE5686C"/>
    <w:rsid w:val="2F6D04FC"/>
    <w:rsid w:val="2FAA7D67"/>
    <w:rsid w:val="306669F5"/>
    <w:rsid w:val="306856BA"/>
    <w:rsid w:val="3070609A"/>
    <w:rsid w:val="30A87C17"/>
    <w:rsid w:val="30CD1136"/>
    <w:rsid w:val="30ED15E5"/>
    <w:rsid w:val="312C6F05"/>
    <w:rsid w:val="31661295"/>
    <w:rsid w:val="317C6989"/>
    <w:rsid w:val="31AA1B4D"/>
    <w:rsid w:val="31D74699"/>
    <w:rsid w:val="31FB36C0"/>
    <w:rsid w:val="32634E87"/>
    <w:rsid w:val="32651546"/>
    <w:rsid w:val="32683259"/>
    <w:rsid w:val="32906B6A"/>
    <w:rsid w:val="33394C03"/>
    <w:rsid w:val="337538EA"/>
    <w:rsid w:val="33817AA6"/>
    <w:rsid w:val="33BB773E"/>
    <w:rsid w:val="33E76BB8"/>
    <w:rsid w:val="34797A64"/>
    <w:rsid w:val="34AA7247"/>
    <w:rsid w:val="34B87C21"/>
    <w:rsid w:val="35341B1D"/>
    <w:rsid w:val="3575241E"/>
    <w:rsid w:val="360B4BDC"/>
    <w:rsid w:val="360C747E"/>
    <w:rsid w:val="36577179"/>
    <w:rsid w:val="36F423BE"/>
    <w:rsid w:val="36F649C1"/>
    <w:rsid w:val="36FF742E"/>
    <w:rsid w:val="374B7C9F"/>
    <w:rsid w:val="3756255D"/>
    <w:rsid w:val="377B475C"/>
    <w:rsid w:val="37B4119E"/>
    <w:rsid w:val="384A1BD2"/>
    <w:rsid w:val="38AF0E50"/>
    <w:rsid w:val="38C23444"/>
    <w:rsid w:val="38CE3B63"/>
    <w:rsid w:val="393F484F"/>
    <w:rsid w:val="39802637"/>
    <w:rsid w:val="3992530B"/>
    <w:rsid w:val="39B87201"/>
    <w:rsid w:val="3A7014DF"/>
    <w:rsid w:val="3AD849F7"/>
    <w:rsid w:val="3B191362"/>
    <w:rsid w:val="3B39711C"/>
    <w:rsid w:val="3B4B561A"/>
    <w:rsid w:val="3BA810F9"/>
    <w:rsid w:val="3BAB63B7"/>
    <w:rsid w:val="3BB063A3"/>
    <w:rsid w:val="3BC8101D"/>
    <w:rsid w:val="3C411E1E"/>
    <w:rsid w:val="3C415FA0"/>
    <w:rsid w:val="3C601B16"/>
    <w:rsid w:val="3C6F04D3"/>
    <w:rsid w:val="3CA25149"/>
    <w:rsid w:val="3CD42A6D"/>
    <w:rsid w:val="3D14701A"/>
    <w:rsid w:val="3D4B425E"/>
    <w:rsid w:val="3D87460F"/>
    <w:rsid w:val="3E922AAD"/>
    <w:rsid w:val="3EA91E41"/>
    <w:rsid w:val="3F48508B"/>
    <w:rsid w:val="3F904012"/>
    <w:rsid w:val="3F9115D8"/>
    <w:rsid w:val="3FD713C8"/>
    <w:rsid w:val="3FE16FC0"/>
    <w:rsid w:val="401C051C"/>
    <w:rsid w:val="40D13AD0"/>
    <w:rsid w:val="40FE6D21"/>
    <w:rsid w:val="414900C0"/>
    <w:rsid w:val="41CD6D59"/>
    <w:rsid w:val="42082753"/>
    <w:rsid w:val="42180B01"/>
    <w:rsid w:val="42924CF8"/>
    <w:rsid w:val="42D21DBD"/>
    <w:rsid w:val="43EB56F8"/>
    <w:rsid w:val="442561D7"/>
    <w:rsid w:val="4427177B"/>
    <w:rsid w:val="44370854"/>
    <w:rsid w:val="453F01E4"/>
    <w:rsid w:val="45685BD6"/>
    <w:rsid w:val="456B2C33"/>
    <w:rsid w:val="45B27E04"/>
    <w:rsid w:val="45C87319"/>
    <w:rsid w:val="46B6385A"/>
    <w:rsid w:val="472617B1"/>
    <w:rsid w:val="475551C2"/>
    <w:rsid w:val="477C28C6"/>
    <w:rsid w:val="47955017"/>
    <w:rsid w:val="48097BEA"/>
    <w:rsid w:val="483D1A54"/>
    <w:rsid w:val="487051DB"/>
    <w:rsid w:val="48E76F31"/>
    <w:rsid w:val="4927430E"/>
    <w:rsid w:val="49297521"/>
    <w:rsid w:val="496E2F01"/>
    <w:rsid w:val="49733DD9"/>
    <w:rsid w:val="49850A00"/>
    <w:rsid w:val="49EB68B4"/>
    <w:rsid w:val="4A3E7CF7"/>
    <w:rsid w:val="4A974CA4"/>
    <w:rsid w:val="4AAA6399"/>
    <w:rsid w:val="4ACD4F64"/>
    <w:rsid w:val="4B1E55C8"/>
    <w:rsid w:val="4B4A7221"/>
    <w:rsid w:val="4B737F8B"/>
    <w:rsid w:val="4B795E8B"/>
    <w:rsid w:val="4BB311E3"/>
    <w:rsid w:val="4C6C451B"/>
    <w:rsid w:val="4CC72CA1"/>
    <w:rsid w:val="4CDC39CF"/>
    <w:rsid w:val="4D056C81"/>
    <w:rsid w:val="4D297372"/>
    <w:rsid w:val="4D6835DE"/>
    <w:rsid w:val="4DAF47AB"/>
    <w:rsid w:val="4DC472CC"/>
    <w:rsid w:val="4DDC0640"/>
    <w:rsid w:val="4E005596"/>
    <w:rsid w:val="4E3276FA"/>
    <w:rsid w:val="4E4633B0"/>
    <w:rsid w:val="4E7E5EFC"/>
    <w:rsid w:val="4E9377FA"/>
    <w:rsid w:val="4EB61B1C"/>
    <w:rsid w:val="4ED61049"/>
    <w:rsid w:val="4F0519E7"/>
    <w:rsid w:val="4F4545BE"/>
    <w:rsid w:val="4F4F1C55"/>
    <w:rsid w:val="4F575303"/>
    <w:rsid w:val="4FA76374"/>
    <w:rsid w:val="4FD45392"/>
    <w:rsid w:val="50611764"/>
    <w:rsid w:val="50995868"/>
    <w:rsid w:val="50AE452C"/>
    <w:rsid w:val="50EF362E"/>
    <w:rsid w:val="51697DCE"/>
    <w:rsid w:val="517A71A4"/>
    <w:rsid w:val="51941DD5"/>
    <w:rsid w:val="51AC6861"/>
    <w:rsid w:val="51FD2CB7"/>
    <w:rsid w:val="521872F3"/>
    <w:rsid w:val="523B113A"/>
    <w:rsid w:val="523B1D80"/>
    <w:rsid w:val="52536E9A"/>
    <w:rsid w:val="52702A5F"/>
    <w:rsid w:val="527B7FBF"/>
    <w:rsid w:val="52BB12BB"/>
    <w:rsid w:val="52E449F7"/>
    <w:rsid w:val="52F62FF8"/>
    <w:rsid w:val="53184B1E"/>
    <w:rsid w:val="532A610D"/>
    <w:rsid w:val="53357060"/>
    <w:rsid w:val="533D54F6"/>
    <w:rsid w:val="541302A6"/>
    <w:rsid w:val="546C2D99"/>
    <w:rsid w:val="54812A74"/>
    <w:rsid w:val="548B56F6"/>
    <w:rsid w:val="548C5126"/>
    <w:rsid w:val="54904C6F"/>
    <w:rsid w:val="55820A8F"/>
    <w:rsid w:val="558D13BE"/>
    <w:rsid w:val="55934D28"/>
    <w:rsid w:val="55964C37"/>
    <w:rsid w:val="55B46E8F"/>
    <w:rsid w:val="56521308"/>
    <w:rsid w:val="5671186E"/>
    <w:rsid w:val="567C73F7"/>
    <w:rsid w:val="56C043DC"/>
    <w:rsid w:val="56E43C7F"/>
    <w:rsid w:val="56F16903"/>
    <w:rsid w:val="56FA3923"/>
    <w:rsid w:val="57041F9B"/>
    <w:rsid w:val="572831E9"/>
    <w:rsid w:val="57426993"/>
    <w:rsid w:val="57EE0AD2"/>
    <w:rsid w:val="58015649"/>
    <w:rsid w:val="584E5026"/>
    <w:rsid w:val="58A11933"/>
    <w:rsid w:val="58A87514"/>
    <w:rsid w:val="58D53F36"/>
    <w:rsid w:val="597F2EC8"/>
    <w:rsid w:val="599011E7"/>
    <w:rsid w:val="5A4519AB"/>
    <w:rsid w:val="5A71742A"/>
    <w:rsid w:val="5AC858D9"/>
    <w:rsid w:val="5AF146BE"/>
    <w:rsid w:val="5B4A3F69"/>
    <w:rsid w:val="5B962F0F"/>
    <w:rsid w:val="5BBF3355"/>
    <w:rsid w:val="5C1D6691"/>
    <w:rsid w:val="5C285022"/>
    <w:rsid w:val="5C994A16"/>
    <w:rsid w:val="5CC35202"/>
    <w:rsid w:val="5CEF4ECD"/>
    <w:rsid w:val="5D112000"/>
    <w:rsid w:val="5D6D1A47"/>
    <w:rsid w:val="5DCF3AF1"/>
    <w:rsid w:val="5E054842"/>
    <w:rsid w:val="5E445C2B"/>
    <w:rsid w:val="5E70760E"/>
    <w:rsid w:val="5EA51DED"/>
    <w:rsid w:val="5ECB4FAA"/>
    <w:rsid w:val="5ED01240"/>
    <w:rsid w:val="5EDD4C54"/>
    <w:rsid w:val="5EE94B12"/>
    <w:rsid w:val="5EF931FF"/>
    <w:rsid w:val="5F0640DD"/>
    <w:rsid w:val="5F5B0549"/>
    <w:rsid w:val="5FFC0E62"/>
    <w:rsid w:val="6018693A"/>
    <w:rsid w:val="608A486B"/>
    <w:rsid w:val="60D56D9C"/>
    <w:rsid w:val="613F45A6"/>
    <w:rsid w:val="614119C7"/>
    <w:rsid w:val="6178053B"/>
    <w:rsid w:val="618A2135"/>
    <w:rsid w:val="61AE4EA9"/>
    <w:rsid w:val="61CA4263"/>
    <w:rsid w:val="61CC3C2D"/>
    <w:rsid w:val="62DC36D1"/>
    <w:rsid w:val="62FE4A5C"/>
    <w:rsid w:val="632974E7"/>
    <w:rsid w:val="639370C1"/>
    <w:rsid w:val="6401069B"/>
    <w:rsid w:val="642222CF"/>
    <w:rsid w:val="642633AF"/>
    <w:rsid w:val="645C35A5"/>
    <w:rsid w:val="65535AF8"/>
    <w:rsid w:val="65B1077D"/>
    <w:rsid w:val="65B377B9"/>
    <w:rsid w:val="65C95C34"/>
    <w:rsid w:val="65D116BE"/>
    <w:rsid w:val="661239F9"/>
    <w:rsid w:val="662F330D"/>
    <w:rsid w:val="66306268"/>
    <w:rsid w:val="66745DA3"/>
    <w:rsid w:val="6678155E"/>
    <w:rsid w:val="66804B84"/>
    <w:rsid w:val="66A93AED"/>
    <w:rsid w:val="66CC54BD"/>
    <w:rsid w:val="66DE3C94"/>
    <w:rsid w:val="67E178F4"/>
    <w:rsid w:val="680E2DC4"/>
    <w:rsid w:val="68D95DC9"/>
    <w:rsid w:val="68E42DD1"/>
    <w:rsid w:val="68F07162"/>
    <w:rsid w:val="69174757"/>
    <w:rsid w:val="692617EE"/>
    <w:rsid w:val="692C11D1"/>
    <w:rsid w:val="69580463"/>
    <w:rsid w:val="69EB2C67"/>
    <w:rsid w:val="6A104A4A"/>
    <w:rsid w:val="6A211D54"/>
    <w:rsid w:val="6A254FC7"/>
    <w:rsid w:val="6A4B3EEC"/>
    <w:rsid w:val="6AE667F7"/>
    <w:rsid w:val="6AF070BD"/>
    <w:rsid w:val="6B157304"/>
    <w:rsid w:val="6BC009C8"/>
    <w:rsid w:val="6C055946"/>
    <w:rsid w:val="6C1D2DEB"/>
    <w:rsid w:val="6C223A21"/>
    <w:rsid w:val="6CF8329A"/>
    <w:rsid w:val="6D793F97"/>
    <w:rsid w:val="6D7A71D0"/>
    <w:rsid w:val="6D9C2092"/>
    <w:rsid w:val="6DCA411D"/>
    <w:rsid w:val="6DD8258E"/>
    <w:rsid w:val="6DEB1DD5"/>
    <w:rsid w:val="6E09071A"/>
    <w:rsid w:val="6EB232A1"/>
    <w:rsid w:val="6F7B7474"/>
    <w:rsid w:val="6FD67424"/>
    <w:rsid w:val="70100D12"/>
    <w:rsid w:val="70537EBD"/>
    <w:rsid w:val="70AD3066"/>
    <w:rsid w:val="70C53C9E"/>
    <w:rsid w:val="70F94150"/>
    <w:rsid w:val="717E4B89"/>
    <w:rsid w:val="718F6358"/>
    <w:rsid w:val="71B26806"/>
    <w:rsid w:val="71F40ABB"/>
    <w:rsid w:val="7274687B"/>
    <w:rsid w:val="72A007CC"/>
    <w:rsid w:val="72DF3D69"/>
    <w:rsid w:val="73064A41"/>
    <w:rsid w:val="733E4953"/>
    <w:rsid w:val="73AF20F8"/>
    <w:rsid w:val="741D087A"/>
    <w:rsid w:val="747C21F0"/>
    <w:rsid w:val="754445A2"/>
    <w:rsid w:val="754620AE"/>
    <w:rsid w:val="75837D89"/>
    <w:rsid w:val="75EE373E"/>
    <w:rsid w:val="764D5D64"/>
    <w:rsid w:val="76846584"/>
    <w:rsid w:val="770F101A"/>
    <w:rsid w:val="773C087E"/>
    <w:rsid w:val="77731F1E"/>
    <w:rsid w:val="77A72E34"/>
    <w:rsid w:val="77BB451C"/>
    <w:rsid w:val="78307911"/>
    <w:rsid w:val="7831674F"/>
    <w:rsid w:val="784F1D38"/>
    <w:rsid w:val="788A4726"/>
    <w:rsid w:val="78C95B0C"/>
    <w:rsid w:val="78E41939"/>
    <w:rsid w:val="79114DF5"/>
    <w:rsid w:val="79A80053"/>
    <w:rsid w:val="79B337C7"/>
    <w:rsid w:val="79CA770D"/>
    <w:rsid w:val="79D22140"/>
    <w:rsid w:val="79D67B7F"/>
    <w:rsid w:val="7A030CB9"/>
    <w:rsid w:val="7A04329A"/>
    <w:rsid w:val="7A254C21"/>
    <w:rsid w:val="7A32781A"/>
    <w:rsid w:val="7A4F7494"/>
    <w:rsid w:val="7AAB40EA"/>
    <w:rsid w:val="7ACD362D"/>
    <w:rsid w:val="7ACE7AFB"/>
    <w:rsid w:val="7B254455"/>
    <w:rsid w:val="7B4E63FC"/>
    <w:rsid w:val="7B4F052A"/>
    <w:rsid w:val="7C22520E"/>
    <w:rsid w:val="7C333BB0"/>
    <w:rsid w:val="7C85341C"/>
    <w:rsid w:val="7CA029BC"/>
    <w:rsid w:val="7CEA7A42"/>
    <w:rsid w:val="7D936583"/>
    <w:rsid w:val="7DA1125E"/>
    <w:rsid w:val="7DED430C"/>
    <w:rsid w:val="7E301F17"/>
    <w:rsid w:val="7E911D1E"/>
    <w:rsid w:val="7F134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16"/>
    <w:qFormat/>
    <w:uiPriority w:val="0"/>
    <w:pPr>
      <w:spacing w:line="360" w:lineRule="auto"/>
      <w:ind w:firstLine="480" w:firstLineChars="200"/>
    </w:pPr>
    <w:rPr>
      <w:rFonts w:ascii="仿宋_GB2312"/>
      <w:sz w:val="24"/>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qFormat/>
    <w:uiPriority w:val="0"/>
    <w:rPr>
      <w:b/>
      <w:bCs/>
    </w:rPr>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6"/>
    <w:semiHidden/>
    <w:qFormat/>
    <w:uiPriority w:val="99"/>
    <w:rPr>
      <w:sz w:val="18"/>
      <w:szCs w:val="18"/>
    </w:rPr>
  </w:style>
  <w:style w:type="character" w:customStyle="1" w:styleId="12">
    <w:name w:val="页脚 Char"/>
    <w:basedOn w:val="8"/>
    <w:link w:val="5"/>
    <w:semiHidden/>
    <w:qFormat/>
    <w:uiPriority w:val="99"/>
    <w:rPr>
      <w:sz w:val="18"/>
      <w:szCs w:val="18"/>
    </w:rPr>
  </w:style>
  <w:style w:type="character" w:customStyle="1" w:styleId="13">
    <w:name w:val="标题 1 Char"/>
    <w:basedOn w:val="8"/>
    <w:link w:val="2"/>
    <w:qFormat/>
    <w:uiPriority w:val="0"/>
    <w:rPr>
      <w:rFonts w:ascii="Times New Roman" w:hAnsi="Times New Roman" w:eastAsia="宋体" w:cs="Times New Roman"/>
      <w:b/>
      <w:bCs/>
      <w:kern w:val="44"/>
      <w:sz w:val="44"/>
      <w:szCs w:val="44"/>
    </w:rPr>
  </w:style>
  <w:style w:type="character" w:customStyle="1" w:styleId="14">
    <w:name w:val="标题 2 Char"/>
    <w:basedOn w:val="8"/>
    <w:link w:val="3"/>
    <w:semiHidden/>
    <w:qFormat/>
    <w:uiPriority w:val="9"/>
    <w:rPr>
      <w:rFonts w:asciiTheme="majorHAnsi" w:hAnsiTheme="majorHAnsi" w:eastAsiaTheme="majorEastAsia" w:cstheme="majorBidi"/>
      <w:b/>
      <w:bCs/>
      <w:sz w:val="32"/>
      <w:szCs w:val="32"/>
    </w:rPr>
  </w:style>
  <w:style w:type="paragraph" w:customStyle="1" w:styleId="15">
    <w:name w:val="参考"/>
    <w:basedOn w:val="1"/>
    <w:qFormat/>
    <w:uiPriority w:val="0"/>
    <w:pPr>
      <w:tabs>
        <w:tab w:val="left" w:pos="2685"/>
      </w:tabs>
      <w:spacing w:line="360" w:lineRule="auto"/>
    </w:pPr>
    <w:rPr>
      <w:kern w:val="44"/>
      <w:sz w:val="24"/>
    </w:rPr>
  </w:style>
  <w:style w:type="character" w:customStyle="1" w:styleId="16">
    <w:name w:val="纯文本 Char"/>
    <w:basedOn w:val="8"/>
    <w:link w:val="4"/>
    <w:qFormat/>
    <w:uiPriority w:val="0"/>
    <w:rPr>
      <w:rFonts w:ascii="仿宋_GB2312" w:hAnsi="Times New Roman" w:eastAsia="宋体" w:cs="Times New Roman"/>
      <w:sz w:val="24"/>
      <w:szCs w:val="24"/>
    </w:rPr>
  </w:style>
  <w:style w:type="character" w:customStyle="1" w:styleId="17">
    <w:name w:val="fontstyle01"/>
    <w:basedOn w:val="8"/>
    <w:qFormat/>
    <w:uiPriority w:val="0"/>
    <w:rPr>
      <w:rFonts w:ascii="宋体" w:hAnsi="宋体" w:eastAsia="宋体" w:cs="宋体"/>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A249F-7619-4571-9795-C804B089C0B6}">
  <ds:schemaRefs/>
</ds:datastoreItem>
</file>

<file path=docProps/app.xml><?xml version="1.0" encoding="utf-8"?>
<Properties xmlns="http://schemas.openxmlformats.org/officeDocument/2006/extended-properties" xmlns:vt="http://schemas.openxmlformats.org/officeDocument/2006/docPropsVTypes">
  <Template>Normal</Template>
  <Pages>10</Pages>
  <Words>1029</Words>
  <Characters>5867</Characters>
  <Lines>48</Lines>
  <Paragraphs>13</Paragraphs>
  <TotalTime>3</TotalTime>
  <ScaleCrop>false</ScaleCrop>
  <LinksUpToDate>false</LinksUpToDate>
  <CharactersWithSpaces>6883</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2019-03-26T10:12:00Z</dcterms:created>
  <dc:creator>Windows 用户</dc:creator>
  <cp:lastModifiedBy>逝水无痕、弱水无迹</cp:lastModifiedBy>
  <dcterms:modified xsi:type="dcterms:W3CDTF">2019-05-09T14:34:31Z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