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59" w:rsidRDefault="00B24759" w:rsidP="005A50C2">
      <w:pPr>
        <w:widowControl/>
        <w:shd w:val="clear" w:color="auto" w:fill="FFFFFF"/>
        <w:spacing w:line="360" w:lineRule="atLeast"/>
        <w:rPr>
          <w:rFonts w:ascii="Arial" w:eastAsia="宋体" w:hAnsi="Arial" w:cs="Arial"/>
          <w:b/>
          <w:color w:val="333333"/>
          <w:kern w:val="0"/>
          <w:sz w:val="28"/>
          <w:szCs w:val="21"/>
        </w:rPr>
      </w:pPr>
      <w:r>
        <w:rPr>
          <w:rFonts w:ascii="Arial" w:eastAsia="宋体" w:hAnsi="Arial" w:cs="Arial" w:hint="eastAsia"/>
          <w:b/>
          <w:color w:val="333333"/>
          <w:kern w:val="0"/>
          <w:sz w:val="28"/>
          <w:szCs w:val="21"/>
        </w:rPr>
        <w:t>附件</w:t>
      </w:r>
      <w:r>
        <w:rPr>
          <w:rFonts w:ascii="Arial" w:eastAsia="宋体" w:hAnsi="Arial" w:cs="Arial" w:hint="eastAsia"/>
          <w:b/>
          <w:color w:val="333333"/>
          <w:kern w:val="0"/>
          <w:sz w:val="28"/>
          <w:szCs w:val="21"/>
        </w:rPr>
        <w:t>1</w:t>
      </w:r>
      <w:r>
        <w:rPr>
          <w:rFonts w:ascii="Arial" w:eastAsia="宋体" w:hAnsi="Arial" w:cs="Arial"/>
          <w:b/>
          <w:color w:val="333333"/>
          <w:kern w:val="0"/>
          <w:sz w:val="28"/>
          <w:szCs w:val="21"/>
        </w:rPr>
        <w:t xml:space="preserve"> </w:t>
      </w:r>
      <w:r w:rsidRPr="00B82539">
        <w:rPr>
          <w:rFonts w:ascii="Arial" w:eastAsia="宋体" w:hAnsi="Arial" w:cs="Arial" w:hint="eastAsia"/>
          <w:b/>
          <w:color w:val="333333"/>
          <w:kern w:val="0"/>
          <w:sz w:val="28"/>
          <w:szCs w:val="21"/>
        </w:rPr>
        <w:t>中国专利奖评选办法</w:t>
      </w:r>
    </w:p>
    <w:p w:rsidR="00C900E6" w:rsidRDefault="00C900E6" w:rsidP="005A50C2">
      <w:pPr>
        <w:widowControl/>
        <w:shd w:val="clear" w:color="auto" w:fill="FFFFFF"/>
        <w:spacing w:line="360" w:lineRule="atLeast"/>
        <w:rPr>
          <w:rFonts w:ascii="Arial" w:eastAsia="宋体" w:hAnsi="Arial" w:cs="Arial"/>
          <w:b/>
          <w:color w:val="333333"/>
          <w:kern w:val="0"/>
          <w:sz w:val="28"/>
          <w:szCs w:val="21"/>
        </w:rPr>
      </w:pPr>
    </w:p>
    <w:p w:rsidR="00B24759" w:rsidRPr="00B24759" w:rsidRDefault="00B24759" w:rsidP="00C900E6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b/>
          <w:color w:val="333333"/>
          <w:kern w:val="0"/>
          <w:sz w:val="36"/>
          <w:szCs w:val="21"/>
        </w:rPr>
      </w:pPr>
      <w:r w:rsidRPr="00B24759">
        <w:rPr>
          <w:rFonts w:ascii="Arial" w:eastAsia="宋体" w:hAnsi="Arial" w:cs="Arial" w:hint="eastAsia"/>
          <w:b/>
          <w:color w:val="333333"/>
          <w:kern w:val="0"/>
          <w:sz w:val="36"/>
          <w:szCs w:val="21"/>
        </w:rPr>
        <w:t>中国专利奖评选办法</w:t>
      </w:r>
    </w:p>
    <w:p w:rsidR="00C900E6" w:rsidRDefault="00C900E6" w:rsidP="005A50C2">
      <w:pPr>
        <w:widowControl/>
        <w:shd w:val="clear" w:color="auto" w:fill="FFFFFF"/>
        <w:spacing w:line="360" w:lineRule="auto"/>
        <w:rPr>
          <w:rFonts w:ascii="Arial" w:eastAsia="宋体" w:hAnsi="Arial" w:cs="Arial"/>
          <w:b/>
          <w:color w:val="333333"/>
          <w:kern w:val="0"/>
          <w:sz w:val="24"/>
          <w:szCs w:val="21"/>
        </w:rPr>
      </w:pPr>
    </w:p>
    <w:p w:rsidR="00B24759" w:rsidRPr="00B24759" w:rsidRDefault="00B24759" w:rsidP="005A50C2">
      <w:pPr>
        <w:widowControl/>
        <w:shd w:val="clear" w:color="auto" w:fill="FFFFFF"/>
        <w:spacing w:line="360" w:lineRule="auto"/>
        <w:rPr>
          <w:rFonts w:ascii="Arial" w:eastAsia="宋体" w:hAnsi="Arial" w:cs="Arial"/>
          <w:b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第一条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评奖宗旨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引导和推进知识产权工作对创新型国家建设，以及促进经济发展方式转变发挥重要作用；鼓励和表彰专利权人和发明人（设计人）对技术（设计）创新及经济社会发展所做的突出贡献。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rPr>
          <w:rFonts w:ascii="Arial" w:eastAsia="宋体" w:hAnsi="Arial" w:cs="Arial"/>
          <w:b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第二条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评奖周期</w:t>
      </w:r>
    </w:p>
    <w:p w:rsidR="00B24759" w:rsidRPr="00B24759" w:rsidRDefault="00B447E1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hyperlink r:id="rId6" w:tgtFrame="_blank" w:history="1">
        <w:r w:rsidR="00B24759" w:rsidRPr="00B24759">
          <w:rPr>
            <w:rFonts w:ascii="Arial" w:eastAsia="宋体" w:hAnsi="Arial" w:cs="Arial"/>
            <w:color w:val="333333"/>
            <w:kern w:val="0"/>
            <w:sz w:val="24"/>
            <w:szCs w:val="21"/>
          </w:rPr>
          <w:t>国家知识产权局</w:t>
        </w:r>
      </w:hyperlink>
      <w:r w:rsidR="00B24759"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与</w:t>
      </w:r>
      <w:hyperlink r:id="rId7" w:tgtFrame="_blank" w:history="1">
        <w:r w:rsidR="00B24759" w:rsidRPr="00B24759">
          <w:rPr>
            <w:rFonts w:ascii="Arial" w:eastAsia="宋体" w:hAnsi="Arial" w:cs="Arial"/>
            <w:color w:val="333333"/>
            <w:kern w:val="0"/>
            <w:sz w:val="24"/>
            <w:szCs w:val="21"/>
          </w:rPr>
          <w:t>世界知识产权组织</w:t>
        </w:r>
      </w:hyperlink>
      <w:r w:rsidR="00B24759"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共同开展中国专利奖评选工作，每年举办一届。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rPr>
          <w:rFonts w:ascii="Arial" w:eastAsia="宋体" w:hAnsi="Arial" w:cs="Arial"/>
          <w:b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第三条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奖项设置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中国专利奖设中国专利金奖及中国专利优秀奖、中国外观设计金奖及中国外观设计优秀奖。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中国专利金奖及中国专利优秀奖，从发明专利和实用新型专利中评选产生，中国专利金奖评出</w:t>
      </w: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30</w:t>
      </w: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项。中国外观设计金奖及中国外观设计优秀奖，从外观设计专利中评选产生，中国外观设计金奖评出</w:t>
      </w: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10</w:t>
      </w: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项。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rPr>
          <w:rFonts w:ascii="Arial" w:eastAsia="宋体" w:hAnsi="Arial" w:cs="Arial"/>
          <w:b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第四条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评审组织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国家知识产权局设立中国专利奖评审委员会（以下称</w:t>
      </w: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“</w:t>
      </w: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评审委员会</w:t>
      </w: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”</w:t>
      </w: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），会同世界知识产权组织开展中国专利奖的评审、批准和授奖等有关工作。评审委员会下设评审办公室，负责日常组织协调工作。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rPr>
          <w:rFonts w:ascii="Arial" w:eastAsia="宋体" w:hAnsi="Arial" w:cs="Arial"/>
          <w:b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第五条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评奖标准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一、发明、实用新型专利评奖标准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（一）专利权稳定，专利授权文本质量优秀。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（二）技术方案新颖，创新性强，技术水平高。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（三）发明专利技术方案对解决本领域关键性、重要性技术问题的贡献程度较大，对本领域技术进步和产业结构优化升级起到重要促进作用；实用新型专利</w:t>
      </w: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lastRenderedPageBreak/>
        <w:t>技术方案对本领域技术革新、产品升级换代的贡献程度较大，对行业技术发展起到积极促进作用。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（四）对提高产品市场竞争力发挥了重要作用，取得了突出的经济效益或社会效益，具有良好的发展前景。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（五）专利权人、实施单位对于该项专利权的运用和保护措施积极主动，取得了显著成效。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二、外观设计专利评奖标准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（一）专利权稳定，创新程度高，专利授权文本质量优秀。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（二）形状、图案、色彩方面设计独特，在产品所属领域有突出的设计要点。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（三）表达良好的设计理念，具备产品质量安全可靠、人机性好、实用性强、绿色环保、引领未来健康生活方式、有文化内涵等特征。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（四）对提升相关产品的市场竞争力发挥了重要作用，取得了突出的经济效益或社会效益。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（五）专利权人、实施单位对于该项专利权的运用和保护措施积极主动，取得了显著成效。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rPr>
          <w:rFonts w:ascii="Arial" w:eastAsia="宋体" w:hAnsi="Arial" w:cs="Arial"/>
          <w:b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第六条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推荐及评审程序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一、中国专利奖参评项目采用推荐方式，由各地知识产权局、国务院有关部门和单位知识产权工作管理机构、全国性行业协会、中国科学院院士和中国工程院院士根据当年评选通知要求择优推荐。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二、评审办公室负责对推荐项目进行初审、公示，并组织开展有关初评工作。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三、评审办公室根据初评情况，提出预获奖项目名单，报评审委员会。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四、评审委员会对预获奖项目名单进行审定，确定获奖项目及其奖励等级。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五、评审办公室在国家知识产权局政府网站以及《</w:t>
      </w:r>
      <w:hyperlink r:id="rId8" w:tgtFrame="_blank" w:history="1">
        <w:r w:rsidRPr="00B24759">
          <w:rPr>
            <w:rFonts w:ascii="Arial" w:eastAsia="宋体" w:hAnsi="Arial" w:cs="Arial"/>
            <w:color w:val="333333"/>
            <w:kern w:val="0"/>
            <w:sz w:val="24"/>
            <w:szCs w:val="21"/>
          </w:rPr>
          <w:t>中国知识产权报</w:t>
        </w:r>
      </w:hyperlink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》公示评选结果。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rPr>
          <w:rFonts w:ascii="Arial" w:eastAsia="宋体" w:hAnsi="Arial" w:cs="Arial"/>
          <w:b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第七条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异议处理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一、中国专利奖评选工作接受社会监督，社会公众对公示项目有异议的，可在规定时间内向评审办公室提出。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lastRenderedPageBreak/>
        <w:t>二、评审办公室接收异议材料，成立异议处理小组，对异议的具体情况进行分析，形成异议分析材料及处理意见并向评审委员会报告，经评审委员会决定后，将处理意见通知异议方和项目申报人、推荐单位。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三、参与异议处理的有关人员对异议者的身份及有关异议信息予以保密。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rPr>
          <w:rFonts w:ascii="Arial" w:eastAsia="宋体" w:hAnsi="Arial" w:cs="Arial"/>
          <w:b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第八条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授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奖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国家知识产权局及世界知识产权组织根据评选结果公示情况，对无异议或异议不成立的项目予以授奖，联合向获得金奖项目的发明人（设计人）颁发奖牌和证书，向专利权人颁发奖牌；国家知识产权局向获得优秀奖项目的发明人（设计人）颁发证书，向专利权人颁发奖牌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国家知识产权局会同世界知识产权组织召开会议，共同表彰有关获奖的发明人（设计人）及专利权人。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国家知识产权局通过电视、网络、报刊等媒体公布获奖结果；对于获奖的项目，专利权人可以在其产品上标注奖项名称及获奖时间。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rPr>
          <w:rFonts w:ascii="Arial" w:eastAsia="宋体" w:hAnsi="Arial" w:cs="Arial"/>
          <w:b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第九条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撤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奖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color w:val="333333"/>
          <w:kern w:val="0"/>
          <w:sz w:val="24"/>
          <w:szCs w:val="21"/>
        </w:rPr>
        <w:t>对于获奖项目，若发现报送材料不实，且有证据证明不符合获奖条件的，由评审办公室提出撤销授奖的意见，经评审委员会批准，撤销授奖并追回奖牌和证书。</w:t>
      </w:r>
    </w:p>
    <w:p w:rsidR="00B24759" w:rsidRPr="00B24759" w:rsidRDefault="00B24759" w:rsidP="005A50C2">
      <w:pPr>
        <w:widowControl/>
        <w:shd w:val="clear" w:color="auto" w:fill="FFFFFF"/>
        <w:spacing w:line="360" w:lineRule="auto"/>
        <w:rPr>
          <w:rFonts w:ascii="Arial" w:eastAsia="宋体" w:hAnsi="Arial" w:cs="Arial"/>
          <w:b/>
          <w:color w:val="333333"/>
          <w:kern w:val="0"/>
          <w:sz w:val="24"/>
          <w:szCs w:val="21"/>
        </w:rPr>
      </w:pP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第十条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本办法由中国专利奖评审办公室负责解释。</w:t>
      </w:r>
    </w:p>
    <w:p w:rsidR="00B24759" w:rsidRPr="00B24759" w:rsidRDefault="00B24759" w:rsidP="005A50C2">
      <w:pPr>
        <w:widowControl/>
        <w:rPr>
          <w:rFonts w:ascii="宋体" w:eastAsia="宋体" w:hAnsi="宋体" w:cs="Arial"/>
          <w:color w:val="333333"/>
          <w:sz w:val="48"/>
          <w:szCs w:val="21"/>
          <w:shd w:val="clear" w:color="auto" w:fill="FFFFFF"/>
        </w:rPr>
      </w:pP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第十一条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 xml:space="preserve"> </w:t>
      </w:r>
      <w:r w:rsidRPr="00B24759">
        <w:rPr>
          <w:rFonts w:ascii="Arial" w:eastAsia="宋体" w:hAnsi="Arial" w:cs="Arial"/>
          <w:b/>
          <w:color w:val="333333"/>
          <w:kern w:val="0"/>
          <w:sz w:val="24"/>
          <w:szCs w:val="21"/>
        </w:rPr>
        <w:t>本办法自公布之日起执行。</w:t>
      </w:r>
    </w:p>
    <w:p w:rsidR="00B24759" w:rsidRDefault="00B24759">
      <w:pPr>
        <w:widowControl/>
        <w:jc w:val="left"/>
        <w:rPr>
          <w:rFonts w:ascii="宋体" w:eastAsia="宋体" w:hAnsi="宋体" w:cs="Arial"/>
          <w:color w:val="333333"/>
          <w:sz w:val="40"/>
          <w:szCs w:val="21"/>
          <w:shd w:val="clear" w:color="auto" w:fill="FFFFFF"/>
        </w:rPr>
      </w:pPr>
      <w:bookmarkStart w:id="0" w:name="_GoBack"/>
      <w:bookmarkEnd w:id="0"/>
    </w:p>
    <w:sectPr w:rsidR="00B24759" w:rsidSect="005C0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E1" w:rsidRDefault="00B447E1" w:rsidP="006826A2">
      <w:r>
        <w:separator/>
      </w:r>
    </w:p>
  </w:endnote>
  <w:endnote w:type="continuationSeparator" w:id="0">
    <w:p w:rsidR="00B447E1" w:rsidRDefault="00B447E1" w:rsidP="0068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E1" w:rsidRDefault="00B447E1" w:rsidP="006826A2">
      <w:r>
        <w:separator/>
      </w:r>
    </w:p>
  </w:footnote>
  <w:footnote w:type="continuationSeparator" w:id="0">
    <w:p w:rsidR="00B447E1" w:rsidRDefault="00B447E1" w:rsidP="0068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09"/>
    <w:rsid w:val="00007D15"/>
    <w:rsid w:val="00024B37"/>
    <w:rsid w:val="00071A47"/>
    <w:rsid w:val="00090A8E"/>
    <w:rsid w:val="000F29A8"/>
    <w:rsid w:val="00106A20"/>
    <w:rsid w:val="00127B2B"/>
    <w:rsid w:val="001D5EC3"/>
    <w:rsid w:val="00200B19"/>
    <w:rsid w:val="00245DA3"/>
    <w:rsid w:val="002D2D09"/>
    <w:rsid w:val="002D56A3"/>
    <w:rsid w:val="002E4934"/>
    <w:rsid w:val="00352404"/>
    <w:rsid w:val="00367AE7"/>
    <w:rsid w:val="003C0D79"/>
    <w:rsid w:val="003C609A"/>
    <w:rsid w:val="003E24CF"/>
    <w:rsid w:val="004259E6"/>
    <w:rsid w:val="00451299"/>
    <w:rsid w:val="00452CFD"/>
    <w:rsid w:val="00497F67"/>
    <w:rsid w:val="004B7E7A"/>
    <w:rsid w:val="004D650D"/>
    <w:rsid w:val="00510432"/>
    <w:rsid w:val="0054003A"/>
    <w:rsid w:val="0055788F"/>
    <w:rsid w:val="0058456B"/>
    <w:rsid w:val="005A50C2"/>
    <w:rsid w:val="005C078E"/>
    <w:rsid w:val="005C2217"/>
    <w:rsid w:val="00637911"/>
    <w:rsid w:val="00640C1A"/>
    <w:rsid w:val="006826A2"/>
    <w:rsid w:val="006952FA"/>
    <w:rsid w:val="006D50E8"/>
    <w:rsid w:val="00731C5A"/>
    <w:rsid w:val="007324F4"/>
    <w:rsid w:val="00755E4A"/>
    <w:rsid w:val="00757200"/>
    <w:rsid w:val="0076395B"/>
    <w:rsid w:val="00793296"/>
    <w:rsid w:val="007B5EB8"/>
    <w:rsid w:val="007C3605"/>
    <w:rsid w:val="007C7DDE"/>
    <w:rsid w:val="007E4A23"/>
    <w:rsid w:val="00821A15"/>
    <w:rsid w:val="00822F1A"/>
    <w:rsid w:val="00825A33"/>
    <w:rsid w:val="0087689F"/>
    <w:rsid w:val="008861B2"/>
    <w:rsid w:val="00894E1B"/>
    <w:rsid w:val="008D3CB9"/>
    <w:rsid w:val="00970D02"/>
    <w:rsid w:val="00983423"/>
    <w:rsid w:val="009C2EEC"/>
    <w:rsid w:val="00A1452D"/>
    <w:rsid w:val="00A319E1"/>
    <w:rsid w:val="00A4243A"/>
    <w:rsid w:val="00A76C0C"/>
    <w:rsid w:val="00AA241B"/>
    <w:rsid w:val="00AB57A1"/>
    <w:rsid w:val="00AC18A8"/>
    <w:rsid w:val="00B05CC5"/>
    <w:rsid w:val="00B24759"/>
    <w:rsid w:val="00B447E1"/>
    <w:rsid w:val="00B71FC6"/>
    <w:rsid w:val="00B973AC"/>
    <w:rsid w:val="00BA2B90"/>
    <w:rsid w:val="00BE1615"/>
    <w:rsid w:val="00C84085"/>
    <w:rsid w:val="00C900E6"/>
    <w:rsid w:val="00CA2D04"/>
    <w:rsid w:val="00CA764B"/>
    <w:rsid w:val="00CC07C7"/>
    <w:rsid w:val="00D222D4"/>
    <w:rsid w:val="00D65BE0"/>
    <w:rsid w:val="00D95CA3"/>
    <w:rsid w:val="00DE1CDD"/>
    <w:rsid w:val="00E123E0"/>
    <w:rsid w:val="00E2345B"/>
    <w:rsid w:val="00EA59C6"/>
    <w:rsid w:val="00EA61DE"/>
    <w:rsid w:val="00EA6FF6"/>
    <w:rsid w:val="00EB4E0F"/>
    <w:rsid w:val="00F30011"/>
    <w:rsid w:val="00F32161"/>
    <w:rsid w:val="00F37488"/>
    <w:rsid w:val="00F829E0"/>
    <w:rsid w:val="00FD1986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9E00E"/>
  <w15:docId w15:val="{4706DD3B-E2D0-49DB-8B46-3FCCA525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D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2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82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826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82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826A2"/>
    <w:rPr>
      <w:sz w:val="18"/>
      <w:szCs w:val="18"/>
    </w:rPr>
  </w:style>
  <w:style w:type="table" w:styleId="a9">
    <w:name w:val="Table Grid"/>
    <w:basedOn w:val="a1"/>
    <w:uiPriority w:val="39"/>
    <w:rsid w:val="0042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59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4%B8%AD%E5%9B%BD%E7%9F%A5%E8%AF%86%E4%BA%A7%E6%9D%83%E6%8A%A5/98241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4%B8%96%E7%95%8C%E7%9F%A5%E8%AF%86%E4%BA%A7%E6%9D%83%E7%BB%84%E7%BB%87/1221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5%9B%BD%E5%AE%B6%E7%9F%A5%E8%AF%86%E4%BA%A7%E6%9D%83%E5%B1%80/211144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307</Words>
  <Characters>1755</Characters>
  <Application>Microsoft Office Word</Application>
  <DocSecurity>0</DocSecurity>
  <Lines>14</Lines>
  <Paragraphs>4</Paragraphs>
  <ScaleCrop>false</ScaleCrop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郑军成</dc:creator>
  <cp:keywords/>
  <dc:description/>
  <cp:lastModifiedBy>郑军成</cp:lastModifiedBy>
  <cp:revision>11</cp:revision>
  <dcterms:created xsi:type="dcterms:W3CDTF">2021-05-11T09:49:00Z</dcterms:created>
  <dcterms:modified xsi:type="dcterms:W3CDTF">2021-05-14T02:56:00Z</dcterms:modified>
</cp:coreProperties>
</file>