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Arial" w:hAnsi="Arial" w:eastAsia="宋体" w:cs="Arial"/>
          <w:b/>
          <w:bCs w:val="0"/>
          <w:sz w:val="36"/>
          <w:szCs w:val="56"/>
          <w:lang w:eastAsia="zh-CN"/>
        </w:rPr>
      </w:pPr>
      <w:r>
        <w:rPr>
          <w:rFonts w:hint="eastAsia" w:ascii="Arial" w:hAnsi="Arial" w:eastAsia="宋体" w:cs="Arial"/>
          <w:b/>
          <w:bCs w:val="0"/>
          <w:sz w:val="36"/>
          <w:szCs w:val="56"/>
          <w:lang w:eastAsia="zh-CN"/>
        </w:rPr>
        <w:t>技术创新需求调查表</w:t>
      </w:r>
    </w:p>
    <w:tbl>
      <w:tblPr>
        <w:tblStyle w:val="2"/>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184"/>
        <w:gridCol w:w="496"/>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7"/>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center"/>
              <w:rPr>
                <w:rStyle w:val="3"/>
                <w:rFonts w:hint="eastAsia" w:ascii="宋体" w:hAnsi="宋体" w:eastAsia="宋体" w:cs="宋体"/>
                <w:kern w:val="2"/>
                <w:sz w:val="22"/>
                <w:szCs w:val="22"/>
                <w:u w:val="single"/>
                <w:lang w:val="en-US" w:eastAsia="zh-CN" w:bidi="ar-SA"/>
              </w:rPr>
            </w:pPr>
            <w:r>
              <w:rPr>
                <w:rFonts w:hint="eastAsia" w:ascii="宋体" w:hAnsi="宋体" w:eastAsia="宋体" w:cs="宋体"/>
                <w:b/>
                <w:bCs/>
                <w:kern w:val="2"/>
                <w:sz w:val="22"/>
                <w:szCs w:val="22"/>
                <w:lang w:val="en-US" w:eastAsia="zh-CN" w:bidi="ar-SA"/>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单位名称</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阿法龙（山东）科技有限公司</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社会统一信用代码</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91371502MA3QBU411E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联系人</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金永行</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联系电话</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18462286691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行政区域</w:t>
            </w:r>
          </w:p>
        </w:tc>
        <w:tc>
          <w:tcPr>
            <w:tcW w:w="6559"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山东省聊城市高新技术产业开发区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是否在国家高新区内？</w:t>
            </w:r>
          </w:p>
        </w:tc>
        <w:tc>
          <w:tcPr>
            <w:tcW w:w="6559"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r>
              <w:rPr>
                <w:rFonts w:hint="eastAsia" w:ascii="宋体" w:hAnsi="宋体" w:eastAsia="宋体" w:cs="宋体"/>
                <w:kern w:val="0"/>
                <w:sz w:val="22"/>
                <w:szCs w:val="22"/>
                <w:u w:val="single"/>
                <w:lang w:val="en-US" w:eastAsia="zh-CN" w:bidi="ar-SA"/>
              </w:rPr>
              <w:t xml:space="preserve"> 　       　 　   　　　 (高新区名称)</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所属行业</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信息传输、软件和信息技术服务业</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技术领域</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上一年度</w:t>
            </w:r>
          </w:p>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营业总收入</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  62.83万元</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人员总数</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 25人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高新技术企业认定</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w:t>
            </w: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科技型中小企业备案</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w:t>
            </w: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需求名称</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技术创新需求情况说明</w:t>
            </w: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需求类别</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技术研发（关键、核心技术）</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产品研发（产品升级、新产品研发)</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□技术改造（设备、研发生产条件)</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0" w:type="dxa"/>
            <w:vMerge w:val="continue"/>
            <w:tcBorders>
              <w:left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内容</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numPr>
                <w:ilvl w:val="0"/>
                <w:numId w:val="1"/>
              </w:numPr>
              <w:ind w:firstLine="0" w:firstLineChars="0"/>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需求解决的技术问题</w:t>
            </w:r>
          </w:p>
          <w:p>
            <w:pPr>
              <w:widowControl w:val="0"/>
              <w:numPr>
                <w:ilvl w:val="0"/>
                <w:numId w:val="2"/>
              </w:numPr>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AR光学技术研究，成像效果提升，色彩还原提升；</w:t>
            </w:r>
          </w:p>
          <w:p>
            <w:pPr>
              <w:widowControl w:val="0"/>
              <w:numPr>
                <w:ilvl w:val="0"/>
                <w:numId w:val="2"/>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 xml:space="preserve">光学组件试产及良率控制； </w:t>
            </w:r>
          </w:p>
          <w:p>
            <w:pPr>
              <w:widowControl w:val="0"/>
              <w:numPr>
                <w:ilvl w:val="0"/>
                <w:numId w:val="2"/>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6TOF方案在AR中的应用优化</w:t>
            </w:r>
          </w:p>
          <w:p>
            <w:pPr>
              <w:widowControl w:val="0"/>
              <w:numPr>
                <w:ilvl w:val="0"/>
                <w:numId w:val="2"/>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SLAM技术的应用</w:t>
            </w:r>
          </w:p>
          <w:p>
            <w:pPr>
              <w:widowControl w:val="0"/>
              <w:numPr>
                <w:ilvl w:val="0"/>
                <w:numId w:val="2"/>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功耗及散热效率的产品优化</w:t>
            </w:r>
          </w:p>
          <w:p>
            <w:pPr>
              <w:widowControl w:val="0"/>
              <w:numPr>
                <w:ilvl w:val="0"/>
                <w:numId w:val="2"/>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AR内容开发者平台研究</w:t>
            </w:r>
          </w:p>
          <w:p>
            <w:pPr>
              <w:widowControl w:val="0"/>
              <w:numPr>
                <w:ilvl w:val="0"/>
                <w:numId w:val="1"/>
              </w:numPr>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技术需求提出背景及技术应用领域</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AR被公认为下一代智能终端，</w:t>
            </w:r>
            <w:r>
              <w:rPr>
                <w:rStyle w:val="3"/>
                <w:rFonts w:hint="default" w:ascii="宋体" w:hAnsi="宋体" w:eastAsia="宋体" w:cs="宋体"/>
                <w:kern w:val="2"/>
                <w:sz w:val="22"/>
                <w:szCs w:val="22"/>
                <w:lang w:val="en-US" w:eastAsia="zh-CN" w:bidi="ar-SA"/>
              </w:rPr>
              <w:t>将</w:t>
            </w:r>
            <w:r>
              <w:rPr>
                <w:rStyle w:val="3"/>
                <w:rFonts w:hint="eastAsia" w:ascii="宋体" w:hAnsi="宋体" w:eastAsia="宋体" w:cs="宋体"/>
                <w:kern w:val="2"/>
                <w:sz w:val="22"/>
                <w:szCs w:val="22"/>
                <w:lang w:val="en-US" w:eastAsia="zh-CN" w:bidi="ar-SA"/>
              </w:rPr>
              <w:t>在</w:t>
            </w:r>
            <w:r>
              <w:rPr>
                <w:rStyle w:val="3"/>
                <w:rFonts w:hint="default" w:ascii="宋体" w:hAnsi="宋体" w:eastAsia="宋体" w:cs="宋体"/>
                <w:kern w:val="2"/>
                <w:sz w:val="22"/>
                <w:szCs w:val="22"/>
                <w:lang w:val="en-US" w:eastAsia="zh-CN" w:bidi="ar-SA"/>
              </w:rPr>
              <w:t>近眼显示、感知交互、渲染处理、网络传输和内容</w:t>
            </w:r>
            <w:r>
              <w:rPr>
                <w:rStyle w:val="3"/>
                <w:rFonts w:hint="eastAsia" w:ascii="宋体" w:hAnsi="宋体" w:eastAsia="宋体" w:cs="宋体"/>
                <w:kern w:val="2"/>
                <w:sz w:val="22"/>
                <w:szCs w:val="22"/>
                <w:lang w:val="en-US" w:eastAsia="zh-CN" w:bidi="ar-SA"/>
              </w:rPr>
              <w:t>上有颠覆式的体验和突破，同时也可看出行业的发展与这</w:t>
            </w:r>
            <w:r>
              <w:rPr>
                <w:rStyle w:val="3"/>
                <w:rFonts w:hint="default" w:ascii="宋体" w:hAnsi="宋体" w:eastAsia="宋体" w:cs="宋体"/>
                <w:kern w:val="2"/>
                <w:sz w:val="22"/>
                <w:szCs w:val="22"/>
                <w:lang w:val="en-US" w:eastAsia="zh-CN" w:bidi="ar-SA"/>
              </w:rPr>
              <w:t>五个方面的关键技术</w:t>
            </w:r>
            <w:r>
              <w:rPr>
                <w:rStyle w:val="3"/>
                <w:rFonts w:hint="eastAsia" w:ascii="宋体" w:hAnsi="宋体" w:eastAsia="宋体" w:cs="宋体"/>
                <w:kern w:val="2"/>
                <w:sz w:val="22"/>
                <w:szCs w:val="22"/>
                <w:lang w:val="en-US" w:eastAsia="zh-CN" w:bidi="ar-SA"/>
              </w:rPr>
              <w:t>息息相关</w:t>
            </w:r>
            <w:r>
              <w:rPr>
                <w:rStyle w:val="3"/>
                <w:rFonts w:hint="default" w:ascii="宋体" w:hAnsi="宋体" w:eastAsia="宋体" w:cs="宋体"/>
                <w:kern w:val="2"/>
                <w:sz w:val="22"/>
                <w:szCs w:val="22"/>
                <w:lang w:val="en-US" w:eastAsia="zh-CN" w:bidi="ar-SA"/>
              </w:rPr>
              <w:t xml:space="preserve">。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（1）AR设备的核心：近眼显示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混合（增强）现实头戴显示器的光学方案一般分为半反半透式、光波导式、离轴反射镜式、自由曲面棱镜式、非双通道式几种，其中原理最简单、易生产的便是以 Google glass 为代表的半反半透式棱镜。光波导总体上可以分为几何光波导（Geometric Waveguide）和衍射光波导（Diffractive Waveguide）两种，几何光波导就是所谓的阵列光波导，其通过阵列反射镜堆叠实现图像的输出和动眼框的扩大，代表光学公司是以色列的Lumus。衍射光波导得益于微纳米结构和“平面光学”的技术发展，能够实现二维扩瞳。其中主流的表面浮雕光栅技术被多家大厂使用并证明了它的可量产性，近年来成为热点并有望成为主流技术。除光波导外，多焦面显示技术、可变焦显示技术、焦面显示器技术、光场显示都是近眼显示的前沿领域，其中，高角分辨率、广视场角、可变焦显示成为核心发展方向。</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（2） 感知交互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感知交互是混合（增强）现实头戴显示器重要的信息获取和人机交互途径，感知交互方式的准确性和自然性一直是混合（增强）现实核心技术之一。感知领域主要包含即时定位与地图构建（SLAM）、3D 重建、物体识别等关键技术；交互领域涵盖手势交互、语音交互、眼球追踪、3D 声场、触觉反馈等。追踪定位作为感知交互领域的基础能力，业界投入最大，且日趋成熟。</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（3） 渲染处理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渲染处理领域的主要矛盾表现为用户更高的体验需求与渲染能力的不足。更优的静态画质、视觉保真度、渲染时延与功耗开销成为该领域的技术动因。目前，业界聚焦面向虚拟现实的注视点渲染、深度学习渲染与混合云渲染等热点领域，旨在探索软硬耦合的精细化渲染之路。</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（4） 网络传输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2019年被称为5G的元年，5G技术对于混合（增强）现实的云化，提供了网 络传输保障，推动了混合（增强）现实头戴显示器朝轻便化低成本无线方向发展。 由于MR(AR)侧重与真实环境的人机交互，需要将摄像头捕捉到的图片/视频上传云端，云端实时下载需要增强叠加显示的虚拟信息，因此需求更多的上行带宽。虚拟现实网络传输涉及接入网、承载网、数据中心、网络运维与监控及投影、编码压缩等技术领域。</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（5） 内容制作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随着终端用户对虚拟现实内容质量和实时性需求不断提高，内容制作对超高速网络的需求与日俱增，内容制作的发展需要 5G 网络支撑。相关技术包括内容采集方向的实时抠像、全景拍摄，内容编辑方向的云端三维重建、虚实场景拟合、 拼接缝合、空间计算，内容播放方向的 WebXR。</w:t>
            </w:r>
          </w:p>
          <w:p>
            <w:pPr>
              <w:widowControl w:val="0"/>
              <w:numPr>
                <w:ilvl w:val="0"/>
                <w:numId w:val="1"/>
              </w:numPr>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技术难点</w:t>
            </w:r>
          </w:p>
          <w:p>
            <w:pPr>
              <w:widowControl w:val="0"/>
              <w:numPr>
                <w:ilvl w:val="0"/>
                <w:numId w:val="0"/>
              </w:numPr>
              <w:ind w:firstLine="440" w:firstLineChars="200"/>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增强现实技术（AR）具有多领域多学科交叉融合的特性，整体技术仍处于 初期及快速发展阶段。目前影响技术大规模应用的主要</w:t>
            </w:r>
            <w:r>
              <w:rPr>
                <w:rStyle w:val="3"/>
                <w:rFonts w:hint="eastAsia" w:ascii="宋体" w:hAnsi="宋体" w:eastAsia="宋体" w:cs="宋体"/>
                <w:kern w:val="2"/>
                <w:sz w:val="22"/>
                <w:szCs w:val="22"/>
                <w:lang w:val="en-US" w:eastAsia="zh-CN" w:bidi="ar-SA"/>
              </w:rPr>
              <w:t>难点</w:t>
            </w:r>
            <w:r>
              <w:rPr>
                <w:rStyle w:val="3"/>
                <w:rFonts w:hint="default" w:ascii="宋体" w:hAnsi="宋体" w:eastAsia="宋体" w:cs="宋体"/>
                <w:kern w:val="2"/>
                <w:sz w:val="22"/>
                <w:szCs w:val="22"/>
                <w:lang w:val="en-US" w:eastAsia="zh-CN" w:bidi="ar-SA"/>
              </w:rPr>
              <w:t>包括：</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（1） 佩戴舒适度。影响 (AR)头戴终端佩戴舒适度的主要因素包括：体积大、重量重导致无法长时间佩戴；发热影响体感；连接线影响移动性；固定方式带来的接触压力及稳定性的平衡等。</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（2） 视觉舒适度。影响视觉舒适度的主要因素包括：FOV 小导致显示画面尺寸偏小；Eyebox 小导致眼睛难以对准且 IPD 兼容性差；出瞳距离小导致无法兼 容近视眼镜；亮度低在室外强光下无法看清虚像；环境光透过率低看不清实际物体（文字）；眩晕感；伪影；畸变；延迟等。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（3） 交互体验。人机交互方式包括手势、语音、眼动、遥控器、触控及按键等，更自然、方便且准确的交互是影响 (AR)头戴终端使用性的主要因素。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（4） 感知准确性。感知主要指对物理环境的理解和对真实物体的认知，包括SLAM，3D 重建，物体识别等。由于需要多传感器融合，设备的计算能力、多传感器校准及算法精度问题都是影响虚实融合效果的因素。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 xml:space="preserve">（5） 成本。居高不下的成本也是 (AR)头戴终端大量推广使用的阻碍。 </w:t>
            </w:r>
          </w:p>
          <w:p>
            <w:pPr>
              <w:widowControl w:val="0"/>
              <w:numPr>
                <w:ilvl w:val="0"/>
                <w:numId w:val="0"/>
              </w:numPr>
              <w:jc w:val="both"/>
              <w:rPr>
                <w:rStyle w:val="3"/>
                <w:rFonts w:hint="default" w:ascii="宋体" w:hAnsi="宋体" w:eastAsia="宋体" w:cs="宋体"/>
                <w:kern w:val="2"/>
                <w:sz w:val="22"/>
                <w:szCs w:val="22"/>
                <w:lang w:val="en-US" w:eastAsia="zh-CN" w:bidi="ar-SA"/>
              </w:rPr>
            </w:pPr>
            <w:r>
              <w:rPr>
                <w:rStyle w:val="3"/>
                <w:rFonts w:hint="default" w:ascii="宋体" w:hAnsi="宋体" w:eastAsia="宋体" w:cs="宋体"/>
                <w:kern w:val="2"/>
                <w:sz w:val="22"/>
                <w:szCs w:val="22"/>
                <w:lang w:val="en-US" w:eastAsia="zh-CN" w:bidi="ar-SA"/>
              </w:rPr>
              <w:t>（6） 其他。续航能力、内容缺乏等也影响了 (AR)头戴终端的大规模应用。</w:t>
            </w:r>
          </w:p>
          <w:p>
            <w:pPr>
              <w:widowControl w:val="0"/>
              <w:numPr>
                <w:ilvl w:val="0"/>
                <w:numId w:val="0"/>
              </w:numPr>
              <w:jc w:val="both"/>
              <w:rPr>
                <w:rStyle w:val="3"/>
                <w:rFonts w:hint="default" w:ascii="宋体" w:hAnsi="宋体" w:eastAsia="宋体" w:cs="宋体"/>
                <w:kern w:val="2"/>
                <w:sz w:val="22"/>
                <w:szCs w:val="22"/>
                <w:lang w:val="en-US" w:eastAsia="zh-CN" w:bidi="ar-SA"/>
              </w:rPr>
            </w:pPr>
          </w:p>
          <w:p>
            <w:pPr>
              <w:widowControl w:val="0"/>
              <w:numPr>
                <w:ilvl w:val="0"/>
                <w:numId w:val="1"/>
              </w:numPr>
              <w:ind w:firstLine="0" w:firstLineChars="0"/>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主要技术经济指标</w:t>
            </w:r>
          </w:p>
          <w:p>
            <w:pPr>
              <w:widowControl w:val="0"/>
              <w:numPr>
                <w:ilvl w:val="0"/>
                <w:numId w:val="3"/>
              </w:numPr>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光学显示视场角</w:t>
            </w:r>
          </w:p>
          <w:p>
            <w:pPr>
              <w:widowControl w:val="0"/>
              <w:numPr>
                <w:ilvl w:val="0"/>
                <w:numId w:val="3"/>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生产良率</w:t>
            </w:r>
          </w:p>
          <w:p>
            <w:pPr>
              <w:widowControl w:val="0"/>
              <w:numPr>
                <w:ilvl w:val="0"/>
                <w:numId w:val="3"/>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模组成本</w:t>
            </w:r>
          </w:p>
          <w:p>
            <w:pPr>
              <w:widowControl w:val="0"/>
              <w:numPr>
                <w:ilvl w:val="0"/>
                <w:numId w:val="3"/>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兼容性</w:t>
            </w:r>
          </w:p>
          <w:p>
            <w:pPr>
              <w:widowControl w:val="0"/>
              <w:numPr>
                <w:ilvl w:val="0"/>
                <w:numId w:val="3"/>
              </w:numPr>
              <w:jc w:val="both"/>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响应速度</w:t>
            </w: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Merge w:val="continue"/>
            <w:tcBorders>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现有</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基础</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numPr>
                <w:ilvl w:val="0"/>
                <w:numId w:val="4"/>
              </w:numPr>
              <w:ind w:firstLine="0" w:firstLineChars="0"/>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开展的工作</w:t>
            </w:r>
          </w:p>
          <w:p>
            <w:pPr>
              <w:widowControl w:val="0"/>
              <w:numPr>
                <w:ilvl w:val="0"/>
                <w:numId w:val="0"/>
              </w:numPr>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目前已经开展以下方面的研究</w:t>
            </w:r>
          </w:p>
          <w:p>
            <w:pPr>
              <w:widowControl w:val="0"/>
              <w:numPr>
                <w:ilvl w:val="0"/>
                <w:numId w:val="0"/>
              </w:numPr>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1）轻量化可穿戴AI智能眼镜</w:t>
            </w:r>
          </w:p>
          <w:p>
            <w:pPr>
              <w:widowControl w:val="0"/>
              <w:numPr>
                <w:ilvl w:val="0"/>
                <w:numId w:val="0"/>
              </w:numPr>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具备4T边缘算力，可支撑人脸、车牌、物体识别等多种算法，低于40g的整机重量的智能眼镜。</w:t>
            </w:r>
          </w:p>
          <w:p>
            <w:pPr>
              <w:widowControl w:val="0"/>
              <w:numPr>
                <w:ilvl w:val="0"/>
                <w:numId w:val="0"/>
              </w:numPr>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2）基于超薄光学的头戴式智能设备</w:t>
            </w:r>
          </w:p>
          <w:p>
            <w:pPr>
              <w:widowControl w:val="0"/>
              <w:numPr>
                <w:ilvl w:val="0"/>
                <w:numId w:val="0"/>
              </w:numPr>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轻量级光波导单目眼镜，整机只有60g,提供更广视角的视觉体验，更远距离的人脸及物体识别，同时也可拓展AI边缘计算能力及远红外测温模块。</w:t>
            </w:r>
          </w:p>
          <w:p>
            <w:pPr>
              <w:widowControl w:val="0"/>
              <w:numPr>
                <w:ilvl w:val="0"/>
                <w:numId w:val="0"/>
              </w:numPr>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3）行业应用平台</w:t>
            </w:r>
          </w:p>
          <w:p>
            <w:pPr>
              <w:widowControl w:val="0"/>
              <w:numPr>
                <w:ilvl w:val="0"/>
                <w:numId w:val="0"/>
              </w:numPr>
              <w:jc w:val="both"/>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包含基于AI智能眼镜的远程协作平台、移动警务系统平台、电力巡检系统及铁路巡检系统等，</w:t>
            </w:r>
          </w:p>
          <w:p>
            <w:pPr>
              <w:widowControl w:val="0"/>
              <w:numPr>
                <w:ilvl w:val="0"/>
                <w:numId w:val="4"/>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所处阶段</w:t>
            </w:r>
          </w:p>
          <w:p>
            <w:pPr>
              <w:widowControl w:val="0"/>
              <w:numPr>
                <w:ilvl w:val="0"/>
                <w:numId w:val="0"/>
              </w:numPr>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部分技术已经推向市场，同时产品在不断迭代升级，平台模块化设计及功能扩展</w:t>
            </w:r>
          </w:p>
          <w:p>
            <w:pPr>
              <w:widowControl w:val="0"/>
              <w:numPr>
                <w:ilvl w:val="0"/>
                <w:numId w:val="4"/>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投入资金和人力</w:t>
            </w:r>
          </w:p>
          <w:p>
            <w:pPr>
              <w:widowControl w:val="0"/>
              <w:numPr>
                <w:ilvl w:val="0"/>
                <w:numId w:val="0"/>
              </w:numPr>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 xml:space="preserve">专职研发团队20人，年投入研究资金500万以上，项目至今投入研发2000万； </w:t>
            </w:r>
          </w:p>
          <w:p>
            <w:pPr>
              <w:widowControl w:val="0"/>
              <w:numPr>
                <w:ilvl w:val="0"/>
                <w:numId w:val="4"/>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仪器设备</w:t>
            </w:r>
          </w:p>
          <w:p>
            <w:pPr>
              <w:widowControl w:val="0"/>
              <w:numPr>
                <w:ilvl w:val="0"/>
                <w:numId w:val="0"/>
              </w:numPr>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示波器，射频分析仪等</w:t>
            </w:r>
          </w:p>
          <w:p>
            <w:pPr>
              <w:widowControl w:val="0"/>
              <w:numPr>
                <w:ilvl w:val="0"/>
                <w:numId w:val="4"/>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生产条件</w:t>
            </w:r>
          </w:p>
          <w:p>
            <w:pPr>
              <w:widowControl w:val="0"/>
              <w:numPr>
                <w:ilvl w:val="0"/>
                <w:numId w:val="0"/>
              </w:numPr>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与富士康联合打造的组装试产线</w:t>
            </w:r>
          </w:p>
          <w:p>
            <w:pPr>
              <w:widowControl w:val="0"/>
              <w:numPr>
                <w:ilvl w:val="0"/>
                <w:numId w:val="4"/>
              </w:numPr>
              <w:ind w:firstLine="0" w:firstLineChars="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其他</w:t>
            </w: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63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产学研合作要求</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简要</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描述</w:t>
            </w:r>
          </w:p>
        </w:tc>
        <w:tc>
          <w:tcPr>
            <w:tcW w:w="7239" w:type="dxa"/>
            <w:gridSpan w:val="5"/>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（希望与哪类高校、科研院所开展产学研合作，共建创新载体,以及对专家及团队所属领域和水平的要求)</w:t>
            </w:r>
          </w:p>
          <w:p>
            <w:pPr>
              <w:widowControl w:val="0"/>
              <w:ind w:firstLine="0" w:firstLineChars="0"/>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阿法龙科技正在积极探寻建立产研学合作模式。阿法龙作为致力于人工智能（AI）、增强现实（AR）及产品研发的国家高新技术企业，在软件开发、线路集成及解决方案等方面处于国内领先的地位。阿法龙科技希望与高校、研究所等研究教学方向和科技理念高度契合的单位和团队深入合作，双方就智能优化与控制、应用性的研究、智慧城市等方面有共同的目标，期望以后加强更深层次交流。阿法龙将会通过设立课题创办竞赛等方式选拔人才，为在校本科生及研究生提供理论应用于实践的机会，通过校企联合，促进学生专业能力研发水平全面提升，拟建立联合实验室，在技术攻关、项目合作、人才培养和输送等方面开展深度合作。</w:t>
            </w:r>
          </w:p>
          <w:p>
            <w:pPr>
              <w:widowControl w:val="0"/>
              <w:ind w:firstLine="0" w:firstLineChars="0"/>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希望开展合作的专家及团队在光学领域和网络神经技术深度学习领域有深厚研究，从事行业10年以上，在核心期刊发表多篇学术性论文，拥有多项专利技术及一定的行业影响力。</w:t>
            </w:r>
            <w:bookmarkStart w:id="0" w:name="_GoBack"/>
            <w:bookmarkEnd w:id="0"/>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合作</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方式</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□技术转让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技术入股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 xml:space="preserve">联合开发   </w:t>
            </w:r>
            <w:r>
              <w:rPr>
                <w:rFonts w:hint="eastAsia" w:ascii="宋体" w:hAnsi="宋体" w:eastAsia="宋体" w:cs="宋体"/>
                <w:kern w:val="2"/>
                <w:sz w:val="22"/>
                <w:szCs w:val="22"/>
                <w:lang w:val="en-US" w:eastAsia="zh-CN" w:bidi="ar-SA"/>
              </w:rPr>
              <w:sym w:font="Wingdings 2" w:char="00A3"/>
            </w:r>
            <w:r>
              <w:rPr>
                <w:rFonts w:hint="eastAsia" w:ascii="宋体" w:hAnsi="宋体" w:eastAsia="宋体" w:cs="宋体"/>
                <w:kern w:val="2"/>
                <w:sz w:val="22"/>
                <w:szCs w:val="22"/>
                <w:lang w:val="en-US" w:eastAsia="zh-CN" w:bidi="ar-SA"/>
              </w:rPr>
              <w:t>委托研发　</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□委托团队、专家长期技术服务    □共建新研发、生产实体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其他需求</w:t>
            </w:r>
          </w:p>
        </w:tc>
        <w:tc>
          <w:tcPr>
            <w:tcW w:w="8115" w:type="dxa"/>
            <w:gridSpan w:val="6"/>
            <w:tcBorders>
              <w:top w:val="single" w:color="auto" w:sz="4" w:space="0"/>
              <w:left w:val="nil"/>
              <w:bottom w:val="single" w:color="auto" w:sz="4" w:space="0"/>
              <w:right w:val="single" w:color="auto" w:sz="4" w:space="0"/>
            </w:tcBorders>
            <w:noWrap w:val="0"/>
            <w:vAlign w:val="center"/>
          </w:tcPr>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□技术转移　 □研发费用加计扣除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 xml:space="preserve">知识产权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科技金融　</w:t>
            </w:r>
          </w:p>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□检验检测   □质量体系 　       □行业政策  </w:t>
            </w: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2"/>
                <w:sz w:val="22"/>
                <w:szCs w:val="22"/>
                <w:lang w:val="en-US" w:eastAsia="zh-CN" w:bidi="ar-SA"/>
              </w:rPr>
              <w:t xml:space="preserve">科技政策  □招标采购 </w:t>
            </w:r>
          </w:p>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□产品/服务市场占有率分析 　□市场前景分析   □企业发展战略咨询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7"/>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center"/>
              <w:rPr>
                <w:rStyle w:val="3"/>
                <w:rFonts w:hint="eastAsia" w:ascii="宋体" w:hAnsi="宋体" w:eastAsia="宋体" w:cs="宋体"/>
                <w:kern w:val="2"/>
                <w:sz w:val="22"/>
                <w:szCs w:val="22"/>
                <w:u w:val="single"/>
                <w:lang w:val="en-US" w:eastAsia="zh-CN" w:bidi="ar-SA"/>
              </w:rPr>
            </w:pPr>
            <w:r>
              <w:rPr>
                <w:rFonts w:hint="eastAsia" w:ascii="宋体" w:hAnsi="宋体" w:eastAsia="宋体" w:cs="宋体"/>
                <w:b/>
                <w:bCs/>
                <w:kern w:val="2"/>
                <w:sz w:val="22"/>
                <w:szCs w:val="22"/>
                <w:lang w:val="en-US" w:eastAsia="zh-CN" w:bidi="ar-SA"/>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同意公开</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需求信息</w:t>
            </w:r>
          </w:p>
        </w:tc>
        <w:tc>
          <w:tcPr>
            <w:tcW w:w="7055" w:type="dxa"/>
            <w:gridSpan w:val="4"/>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　　　　　　     　  　</w:t>
            </w:r>
            <w:r>
              <w:rPr>
                <w:rFonts w:hint="eastAsia" w:ascii="宋体" w:hAnsi="宋体" w:eastAsia="宋体" w:cs="宋体"/>
                <w:kern w:val="2"/>
                <w:sz w:val="22"/>
                <w:szCs w:val="22"/>
                <w:lang w:val="en-US" w:eastAsia="zh-CN" w:bidi="ar-SA"/>
              </w:rPr>
              <w:t>　□否</w:t>
            </w:r>
          </w:p>
          <w:p>
            <w:pPr>
              <w:widowControl w:val="0"/>
              <w:ind w:firstLine="0" w:firstLineChars="0"/>
              <w:jc w:val="both"/>
              <w:rPr>
                <w:rStyle w:val="3"/>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部分公开（说明)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同意接受</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专家服务</w:t>
            </w:r>
          </w:p>
        </w:tc>
        <w:tc>
          <w:tcPr>
            <w:tcW w:w="7055" w:type="dxa"/>
            <w:gridSpan w:val="4"/>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 xml:space="preserve">是   　     　 　　   </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同意参与解决方案筛选评价</w:t>
            </w:r>
          </w:p>
        </w:tc>
        <w:tc>
          <w:tcPr>
            <w:tcW w:w="7055"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同意出资奖励优秀解决方案</w:t>
            </w:r>
          </w:p>
        </w:tc>
        <w:tc>
          <w:tcPr>
            <w:tcW w:w="7055" w:type="dxa"/>
            <w:gridSpan w:val="4"/>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sym w:font="Wingdings 2" w:char="0052"/>
            </w:r>
            <w:r>
              <w:rPr>
                <w:rFonts w:hint="eastAsia" w:ascii="宋体" w:hAnsi="宋体" w:eastAsia="宋体" w:cs="宋体"/>
                <w:kern w:val="0"/>
                <w:sz w:val="22"/>
                <w:szCs w:val="22"/>
                <w:lang w:val="en-US" w:eastAsia="zh-CN" w:bidi="ar-SA"/>
              </w:rPr>
              <w:t>是, 金额10</w:t>
            </w:r>
            <w:r>
              <w:rPr>
                <w:rFonts w:hint="eastAsia" w:ascii="宋体" w:hAnsi="宋体" w:eastAsia="宋体" w:cs="宋体"/>
                <w:kern w:val="2"/>
                <w:sz w:val="22"/>
                <w:szCs w:val="22"/>
                <w:lang w:val="en-US" w:eastAsia="zh-CN" w:bidi="ar-SA"/>
              </w:rPr>
              <w:t>万元.</w:t>
            </w:r>
            <w:r>
              <w:rPr>
                <w:rFonts w:hint="eastAsia" w:ascii="宋体" w:hAnsi="宋体" w:eastAsia="宋体" w:cs="宋体"/>
                <w:kern w:val="0"/>
                <w:sz w:val="22"/>
                <w:szCs w:val="22"/>
                <w:lang w:val="en-US" w:eastAsia="zh-CN" w:bidi="ar-SA"/>
              </w:rPr>
              <w:t>(奖金仅用作鼓励挑战者,不作为技术转让、技术许可或其他独占性合作的前提条件)</w:t>
            </w:r>
          </w:p>
          <w:p>
            <w:pPr>
              <w:widowControl w:val="0"/>
              <w:ind w:firstLine="0" w:firstLineChars="0"/>
              <w:jc w:val="both"/>
              <w:rPr>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r>
              <w:rPr>
                <w:rFonts w:hint="eastAsia" w:ascii="宋体" w:hAnsi="宋体" w:eastAsia="宋体" w:cs="宋体"/>
                <w:kern w:val="0"/>
                <w:sz w:val="22"/>
                <w:szCs w:val="22"/>
                <w:lang w:val="en-US" w:eastAsia="zh-CN" w:bidi="ar-SA"/>
              </w:rPr>
              <w:br w:type="textWrapping"/>
            </w:r>
            <w:r>
              <w:rPr>
                <w:rFonts w:hint="eastAsia" w:ascii="宋体" w:hAnsi="宋体" w:eastAsia="宋体" w:cs="宋体"/>
                <w:kern w:val="0"/>
                <w:sz w:val="22"/>
                <w:szCs w:val="22"/>
                <w:lang w:val="en-US" w:eastAsia="zh-CN" w:bidi="ar-SA"/>
              </w:rPr>
              <w:t xml:space="preserve">      　　　　 　 　</w:t>
            </w: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　　 　   法人代表：徐培培　  　  　    　　2021年7月22日</w:t>
            </w:r>
          </w:p>
        </w:tc>
      </w:tr>
    </w:tbl>
    <w:p>
      <w:pPr>
        <w:widowControl w:val="0"/>
        <w:ind w:firstLine="0" w:firstLineChars="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填表说明：</w:t>
      </w:r>
    </w:p>
    <w:p>
      <w:pPr>
        <w:widowControl w:val="0"/>
        <w:numPr>
          <w:ilvl w:val="0"/>
          <w:numId w:val="5"/>
        </w:numPr>
        <w:ind w:firstLine="0" w:firstLineChars="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所述行业：1.农、林、牧、渔业；2.采矿业；3.制造业；4.电力、热力、燃气及谁生产和供应业；5.建筑业；6.交通运输、仓储和邮政业；7.信息传输、软件和信息技术服务业；8.科学研究和技术服务业；9.水利、环境和公共设施管理业；10.卫生和社会工作；11.文化、体育和娱乐业。</w:t>
      </w:r>
    </w:p>
    <w:p>
      <w:pPr>
        <w:widowControl w:val="0"/>
        <w:numPr>
          <w:ilvl w:val="0"/>
          <w:numId w:val="5"/>
        </w:numPr>
        <w:ind w:firstLine="0" w:firstLineChars="0"/>
        <w:jc w:val="left"/>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技术领域：1.电子信息；2.生物余新医药；3.航空航天；4.新材料；5.高技术服务；6.新能源与节能；7.资源与环境；8.现金制造与自动化。</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AED26"/>
    <w:multiLevelType w:val="singleLevel"/>
    <w:tmpl w:val="901AED26"/>
    <w:lvl w:ilvl="0" w:tentative="0">
      <w:start w:val="1"/>
      <w:numFmt w:val="decimal"/>
      <w:suff w:val="nothing"/>
      <w:lvlText w:val="%1）"/>
      <w:lvlJc w:val="left"/>
    </w:lvl>
  </w:abstractNum>
  <w:abstractNum w:abstractNumId="1">
    <w:nsid w:val="A6D0AD2E"/>
    <w:multiLevelType w:val="singleLevel"/>
    <w:tmpl w:val="A6D0AD2E"/>
    <w:lvl w:ilvl="0" w:tentative="0">
      <w:start w:val="1"/>
      <w:numFmt w:val="decimal"/>
      <w:suff w:val="nothing"/>
      <w:lvlText w:val="%1、"/>
      <w:lvlJc w:val="left"/>
    </w:lvl>
  </w:abstractNum>
  <w:abstractNum w:abstractNumId="2">
    <w:nsid w:val="D17E1202"/>
    <w:multiLevelType w:val="singleLevel"/>
    <w:tmpl w:val="D17E1202"/>
    <w:lvl w:ilvl="0" w:tentative="0">
      <w:start w:val="1"/>
      <w:numFmt w:val="decimal"/>
      <w:suff w:val="nothing"/>
      <w:lvlText w:val="%1、"/>
      <w:lvlJc w:val="left"/>
    </w:lvl>
  </w:abstractNum>
  <w:abstractNum w:abstractNumId="3">
    <w:nsid w:val="DB3C5D3C"/>
    <w:multiLevelType w:val="singleLevel"/>
    <w:tmpl w:val="DB3C5D3C"/>
    <w:lvl w:ilvl="0" w:tentative="0">
      <w:start w:val="1"/>
      <w:numFmt w:val="chineseCounting"/>
      <w:suff w:val="nothing"/>
      <w:lvlText w:val="%1、"/>
      <w:lvlJc w:val="left"/>
      <w:rPr>
        <w:rFonts w:hint="eastAsia"/>
      </w:rPr>
    </w:lvl>
  </w:abstractNum>
  <w:abstractNum w:abstractNumId="4">
    <w:nsid w:val="6A53C100"/>
    <w:multiLevelType w:val="singleLevel"/>
    <w:tmpl w:val="6A53C100"/>
    <w:lvl w:ilvl="0" w:tentative="0">
      <w:start w:val="1"/>
      <w:numFmt w:val="decimal"/>
      <w:suff w:val="nothing"/>
      <w:lvlText w:val="%1）"/>
      <w:lvlJc w:val="left"/>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4706C"/>
    <w:rsid w:val="0C7246BA"/>
    <w:rsid w:val="4C0F0C1D"/>
    <w:rsid w:val="59B4706C"/>
    <w:rsid w:val="650B4890"/>
    <w:rsid w:val="779F3CF4"/>
    <w:rsid w:val="7AFC3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Arial"/>
      <w:kern w:val="2"/>
      <w:sz w:val="32"/>
      <w:szCs w:val="24"/>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1"/>
    <w:basedOn w:val="1"/>
    <w:qFormat/>
    <w:uiPriority w:val="0"/>
    <w:pPr>
      <w:ind w:firstLine="42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2021-06-29T06:38:00Z</dcterms:created>
  <dc:creator>夏至末</dc:creator>
  <cp:lastModifiedBy>辛明军</cp:lastModifiedBy>
  <dcterms:modified xsi:type="dcterms:W3CDTF">2021-08-03T02:11:08Z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2672C1DC8D8E41C99243B872EE689F17</vt:lpwstr>
  </property>
</Properties>
</file>