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Arial" w:hAnsi="Arial" w:eastAsia="宋体" w:cs="Arial"/>
          <w:b/>
          <w:bCs w:val="0"/>
          <w:sz w:val="36"/>
          <w:szCs w:val="56"/>
          <w:lang w:eastAsia="zh-CN"/>
        </w:rPr>
      </w:pPr>
      <w:r>
        <w:rPr>
          <w:rFonts w:hint="eastAsia" w:ascii="Arial" w:hAnsi="Arial" w:eastAsia="宋体" w:cs="Arial"/>
          <w:b/>
          <w:bCs w:val="0"/>
          <w:sz w:val="36"/>
          <w:szCs w:val="56"/>
          <w:lang w:eastAsia="zh-CN"/>
        </w:rPr>
        <w:t>技术创新需求调查表</w:t>
      </w:r>
    </w:p>
    <w:tbl>
      <w:tblPr>
        <w:tblStyle w:val="2"/>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108"/>
        <w:gridCol w:w="2865"/>
        <w:gridCol w:w="2010"/>
        <w:gridCol w:w="2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noWrap w:val="0"/>
            <w:vAlign w:val="top"/>
          </w:tcPr>
          <w:p>
            <w:pPr>
              <w:widowControl w:val="0"/>
              <w:ind w:firstLine="0" w:firstLineChars="0"/>
              <w:jc w:val="center"/>
              <w:rPr>
                <w:rStyle w:val="3"/>
                <w:rFonts w:hint="eastAsia" w:ascii="宋体" w:hAnsi="宋体" w:eastAsia="宋体" w:cs="宋体"/>
                <w:kern w:val="2"/>
                <w:sz w:val="22"/>
                <w:szCs w:val="22"/>
                <w:u w:val="single"/>
                <w:lang w:val="en-US" w:eastAsia="zh-CN" w:bidi="ar-SA"/>
              </w:rPr>
            </w:pPr>
            <w:r>
              <w:rPr>
                <w:rFonts w:hint="eastAsia" w:ascii="宋体" w:hAnsi="宋体" w:eastAsia="宋体" w:cs="宋体"/>
                <w:b/>
                <w:bCs/>
                <w:kern w:val="2"/>
                <w:sz w:val="22"/>
                <w:szCs w:val="22"/>
                <w:lang w:val="en-US" w:eastAsia="zh-CN" w:bidi="ar-SA"/>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单位名称</w:t>
            </w:r>
          </w:p>
        </w:tc>
        <w:tc>
          <w:tcPr>
            <w:tcW w:w="2865"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山东鲁晟精工机械有限公司</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社会统一信用代码</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9137150006873836XW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联系人</w:t>
            </w:r>
          </w:p>
        </w:tc>
        <w:tc>
          <w:tcPr>
            <w:tcW w:w="2865"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樊丙建</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联系电话</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18265585666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行政区域</w:t>
            </w:r>
          </w:p>
        </w:tc>
        <w:tc>
          <w:tcPr>
            <w:tcW w:w="7131"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2"/>
                <w:sz w:val="22"/>
                <w:szCs w:val="22"/>
                <w:lang w:val="en-US" w:eastAsia="zh-CN" w:bidi="ar-SA"/>
              </w:rPr>
            </w:pPr>
            <w:r>
              <w:rPr>
                <w:rFonts w:hint="eastAsia" w:ascii="宋体" w:hAnsi="宋体" w:eastAsia="宋体" w:cs="宋体"/>
                <w:kern w:val="0"/>
                <w:sz w:val="22"/>
                <w:szCs w:val="22"/>
                <w:lang w:val="en-US" w:eastAsia="zh-CN" w:bidi="ar-SA"/>
              </w:rPr>
              <w:t>山东省聊城市经济技术开发区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是否在国家高新区内？</w:t>
            </w:r>
          </w:p>
        </w:tc>
        <w:tc>
          <w:tcPr>
            <w:tcW w:w="7131"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是</w:t>
            </w:r>
            <w:r>
              <w:rPr>
                <w:rFonts w:hint="eastAsia" w:ascii="宋体" w:hAnsi="宋体" w:eastAsia="宋体" w:cs="宋体"/>
                <w:kern w:val="0"/>
                <w:sz w:val="22"/>
                <w:szCs w:val="22"/>
                <w:u w:val="single"/>
                <w:lang w:val="en-US" w:eastAsia="zh-CN" w:bidi="ar-SA"/>
              </w:rPr>
              <w:t xml:space="preserve"> 　       　 　   　　　 (高新区名称)</w:t>
            </w:r>
          </w:p>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0"/>
                <w:sz w:val="22"/>
                <w:szCs w:val="22"/>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所属行业</w:t>
            </w:r>
          </w:p>
        </w:tc>
        <w:tc>
          <w:tcPr>
            <w:tcW w:w="2865"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技术领域</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上一年度</w:t>
            </w:r>
          </w:p>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0"/>
                <w:sz w:val="22"/>
                <w:szCs w:val="22"/>
                <w:lang w:val="en-US" w:eastAsia="zh-CN" w:bidi="ar-SA"/>
              </w:rPr>
              <w:t>营业总收入</w:t>
            </w:r>
          </w:p>
        </w:tc>
        <w:tc>
          <w:tcPr>
            <w:tcW w:w="2865"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　      202.02（万元）</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0"/>
                <w:sz w:val="22"/>
                <w:szCs w:val="22"/>
                <w:lang w:val="en-US" w:eastAsia="zh-CN" w:bidi="ar-SA"/>
              </w:rPr>
              <w:t>人员总数</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 xml:space="preserve">   　  15（人）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0"/>
                <w:sz w:val="22"/>
                <w:szCs w:val="22"/>
                <w:lang w:val="en-US" w:eastAsia="zh-CN" w:bidi="ar-SA"/>
              </w:rPr>
              <w:t>高新技术企业认定</w:t>
            </w:r>
          </w:p>
        </w:tc>
        <w:tc>
          <w:tcPr>
            <w:tcW w:w="2865"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是</w:t>
            </w: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0"/>
                <w:sz w:val="22"/>
                <w:szCs w:val="22"/>
                <w:lang w:val="en-US" w:eastAsia="zh-CN" w:bidi="ar-SA"/>
              </w:rPr>
              <w:t>否</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0"/>
                <w:sz w:val="22"/>
                <w:szCs w:val="22"/>
                <w:lang w:val="en-US" w:eastAsia="zh-CN" w:bidi="ar-SA"/>
              </w:rPr>
              <w:t>科技型中小企业备案</w:t>
            </w:r>
          </w:p>
        </w:tc>
        <w:tc>
          <w:tcPr>
            <w:tcW w:w="225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是</w:t>
            </w: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0"/>
                <w:sz w:val="22"/>
                <w:szCs w:val="22"/>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6" w:type="dxa"/>
            <w:gridSpan w:val="2"/>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需求名称</w:t>
            </w:r>
          </w:p>
        </w:tc>
        <w:tc>
          <w:tcPr>
            <w:tcW w:w="7239" w:type="dxa"/>
            <w:gridSpan w:val="4"/>
            <w:tcBorders>
              <w:top w:val="single" w:color="auto" w:sz="4" w:space="0"/>
              <w:left w:val="nil"/>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0"/>
                <w:sz w:val="22"/>
                <w:szCs w:val="22"/>
                <w:lang w:val="en-US" w:eastAsia="zh-CN" w:bidi="ar-SA"/>
              </w:rPr>
            </w:pPr>
            <w:r>
              <w:rPr>
                <w:rStyle w:val="3"/>
                <w:rFonts w:hint="default" w:ascii="宋体" w:hAnsi="宋体" w:eastAsia="宋体" w:cs="宋体"/>
                <w:kern w:val="0"/>
                <w:sz w:val="22"/>
                <w:szCs w:val="22"/>
                <w:lang w:val="en-US" w:eastAsia="zh-CN" w:bidi="ar-SA"/>
              </w:rPr>
              <w:t>基于前瞻预取技术的数控</w:t>
            </w:r>
            <w:r>
              <w:rPr>
                <w:rStyle w:val="3"/>
                <w:rFonts w:hint="eastAsia" w:ascii="宋体" w:hAnsi="宋体" w:eastAsia="宋体" w:cs="宋体"/>
                <w:kern w:val="0"/>
                <w:sz w:val="22"/>
                <w:szCs w:val="22"/>
                <w:lang w:val="en-US" w:eastAsia="zh-CN" w:bidi="ar-SA"/>
              </w:rPr>
              <w:t>车床操作系统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技术创新需求情况说明</w:t>
            </w:r>
          </w:p>
        </w:tc>
        <w:tc>
          <w:tcPr>
            <w:tcW w:w="876" w:type="dxa"/>
            <w:tcBorders>
              <w:top w:val="single" w:color="auto" w:sz="4" w:space="0"/>
              <w:left w:val="nil"/>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需求类别</w:t>
            </w:r>
          </w:p>
        </w:tc>
        <w:tc>
          <w:tcPr>
            <w:tcW w:w="7239" w:type="dxa"/>
            <w:gridSpan w:val="4"/>
            <w:tcBorders>
              <w:top w:val="single" w:color="auto" w:sz="4" w:space="0"/>
              <w:left w:val="nil"/>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□技术研发（关键、核心技术）</w:t>
            </w:r>
          </w:p>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2"/>
                <w:sz w:val="22"/>
                <w:szCs w:val="22"/>
                <w:lang w:val="en-US" w:eastAsia="zh-CN" w:bidi="ar-SA"/>
              </w:rPr>
              <w:t>产品研发（产品升级、新产品研发)</w:t>
            </w:r>
          </w:p>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2"/>
                <w:sz w:val="22"/>
                <w:szCs w:val="22"/>
                <w:lang w:val="en-US" w:eastAsia="zh-CN" w:bidi="ar-SA"/>
              </w:rPr>
              <w:t>技术改造（设备、研发生产条件)</w:t>
            </w:r>
            <w:bookmarkStart w:id="0" w:name="_GoBack"/>
            <w:bookmarkEnd w:id="0"/>
          </w:p>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2"/>
                <w:sz w:val="22"/>
                <w:szCs w:val="22"/>
                <w:lang w:val="en-US" w:eastAsia="zh-CN" w:bidi="ar-SA"/>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0" w:type="dxa"/>
            <w:vMerge w:val="continue"/>
            <w:tcBorders>
              <w:left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0"/>
                <w:sz w:val="22"/>
                <w:szCs w:val="22"/>
                <w:lang w:val="en-US" w:eastAsia="zh-CN" w:bidi="ar-SA"/>
              </w:rPr>
            </w:pPr>
          </w:p>
        </w:tc>
        <w:tc>
          <w:tcPr>
            <w:tcW w:w="876" w:type="dxa"/>
            <w:tcBorders>
              <w:top w:val="single" w:color="auto" w:sz="4" w:space="0"/>
              <w:left w:val="nil"/>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需求</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内容</w:t>
            </w:r>
          </w:p>
        </w:tc>
        <w:tc>
          <w:tcPr>
            <w:tcW w:w="7239" w:type="dxa"/>
            <w:gridSpan w:val="4"/>
            <w:tcBorders>
              <w:top w:val="single" w:color="auto" w:sz="4" w:space="0"/>
              <w:left w:val="nil"/>
              <w:bottom w:val="single" w:color="auto" w:sz="4" w:space="0"/>
              <w:right w:val="single" w:color="auto" w:sz="4" w:space="0"/>
            </w:tcBorders>
            <w:noWrap w:val="0"/>
            <w:vAlign w:val="center"/>
          </w:tcPr>
          <w:p>
            <w:pPr>
              <w:widowControl w:val="0"/>
              <w:numPr>
                <w:ilvl w:val="0"/>
                <w:numId w:val="1"/>
              </w:numPr>
              <w:ind w:firstLine="0" w:firstLineChars="0"/>
              <w:jc w:val="both"/>
              <w:rPr>
                <w:rStyle w:val="3"/>
                <w:rFonts w:hint="eastAsia"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需求解决的技术问题</w:t>
            </w:r>
          </w:p>
          <w:p>
            <w:pPr>
              <w:widowControl w:val="0"/>
              <w:numPr>
                <w:numId w:val="0"/>
              </w:numPr>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加大数控车床的智能化及数字化水平；减少数控车床成本，提高加工精度和稳定性</w:t>
            </w:r>
          </w:p>
          <w:p>
            <w:pPr>
              <w:widowControl w:val="0"/>
              <w:numPr>
                <w:ilvl w:val="0"/>
                <w:numId w:val="1"/>
              </w:numPr>
              <w:ind w:firstLine="0" w:firstLineChars="0"/>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技术需求提出背景及技术应用领域</w:t>
            </w:r>
          </w:p>
          <w:p>
            <w:pPr>
              <w:widowControl w:val="0"/>
              <w:numPr>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目前，数控车床的发展日新月异，高速化、高精度化、复合化、智能化、开放化、并联驱动化、网络化、极端化、绿色化已成为数控车床发展的趋势和方向。我国作为一个制造大国，主要还是依靠劳动力、价格、资源等方面的比较优势，而在产品的技术创新与自主开发方面与国外同行的差距还很大。我国的数控产业不能安于现状，应该抓住机会不断发展，努力发展自己的先进技术，加大技术创新与人才培训力度，提高企业综合服务能力，努力缩短与发达国家之间的差距。力争早日实现数控车床产品从低端到高端、从初级产品加工到高精尖产品制造的转变，实现从中国制造到中国创造、从制造大国到制造强国的转变，再到机床的机械化管理。</w:t>
            </w:r>
          </w:p>
          <w:p>
            <w:pPr>
              <w:widowControl w:val="0"/>
              <w:numPr>
                <w:ilvl w:val="0"/>
                <w:numId w:val="1"/>
              </w:numPr>
              <w:ind w:firstLine="0" w:firstLineChars="0"/>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技术难点</w:t>
            </w:r>
          </w:p>
          <w:p>
            <w:pPr>
              <w:widowControl w:val="0"/>
              <w:numPr>
                <w:numId w:val="0"/>
              </w:numPr>
              <w:ind w:firstLine="440" w:firstLineChars="200"/>
              <w:jc w:val="both"/>
              <w:rPr>
                <w:rStyle w:val="3"/>
                <w:rFonts w:hint="eastAsia"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当今数控车床是数量极其庞大、使用极为广泛的数控装备，经市场调研，螺纹加工是车床典型的加工方式之一，经济型、普及型车床最为普遍，机床生产厂家为了控制成本，通常在主轴位置传感反馈装置的选型上会选择分辨率相对较低的旋转编码器，对于实现转进给、主轴定位、恒线速切削等方式上都能够满足加工要求。而对于车削螺纹方面，通常使用的数控控制方法只能满足精度要求不高的螺纹加工，尤其在工件轴 ( 主轴 ) 低转速情况下精度更为下降，由于机床机械特性以及工件工艺要求，致使在螺纹加工过程中主轴转速不能设置过高；主轴位置传感反馈装置若选择高分辨率旋转编码器，又会带来机床成本的增加，对于价格相对低廉的数控车床来说，机床厂商通常不会采购高分辨率编码器用于经济型及普及型数控车床上。 同时，随着现代制造业的迅速发展，机床结构也在不断发生变化，比如出现了各类攻牙机、螺纹机等。但毕竟是单一功能螺纹加工机，使用数控车床车削螺纹仍然是被广为使用的手段。数控车床传统车削螺纹方法，由于主轴分辨率低，在工件轴转动过程中，每一个规划插补周期螺纹车刀随着主轴转动位置进给，进给轴跟随进给量是不均匀的，对螺纹加工精度造成一定影响。</w:t>
            </w:r>
          </w:p>
          <w:p>
            <w:pPr>
              <w:widowControl w:val="0"/>
              <w:numPr>
                <w:ilvl w:val="0"/>
                <w:numId w:val="1"/>
              </w:numPr>
              <w:ind w:firstLine="0" w:firstLineChars="0"/>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主要技术经济指标</w:t>
            </w:r>
          </w:p>
          <w:p>
            <w:pPr>
              <w:widowControl w:val="0"/>
              <w:numPr>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根据市场调研情况，该项目产品具有广阔的发展空间和市场前景，市场竞争力较强。依据市场调查分析，以及公司的技术力量、生产能力和管理水平，设计本项目规模化的生产能力，预计可以实现年产4000台套基于前瞻预取技术的数控精密车床的生产规模，按照当前价格约45000元/套计算，可实现销售收入18000万元。</w:t>
            </w:r>
          </w:p>
          <w:p>
            <w:pPr>
              <w:widowControl w:val="0"/>
              <w:numPr>
                <w:numId w:val="0"/>
              </w:numPr>
              <w:ind w:firstLine="440" w:firstLineChars="200"/>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经财务部核算，4000套产品的生产成本约12600万元。因此，达产年后，本项目产品实现销售收入18000万元，净利润2295万元。</w:t>
            </w:r>
          </w:p>
          <w:p>
            <w:pPr>
              <w:widowControl w:val="0"/>
              <w:numPr>
                <w:numId w:val="0"/>
              </w:numPr>
              <w:jc w:val="both"/>
              <w:rPr>
                <w:rStyle w:val="3"/>
                <w:rFonts w:hint="default" w:ascii="宋体" w:hAnsi="宋体" w:eastAsia="宋体" w:cs="宋体"/>
                <w:kern w:val="2"/>
                <w:sz w:val="22"/>
                <w:szCs w:val="22"/>
                <w:lang w:val="en-US" w:eastAsia="zh-CN" w:bidi="ar-SA"/>
              </w:rPr>
            </w:pPr>
          </w:p>
          <w:p>
            <w:pPr>
              <w:widowControl w:val="0"/>
              <w:numPr>
                <w:ilvl w:val="0"/>
                <w:numId w:val="1"/>
              </w:numPr>
              <w:ind w:firstLine="0" w:firstLineChars="0"/>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其他</w:t>
            </w: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0" w:type="dxa"/>
            <w:vMerge w:val="continue"/>
            <w:tcBorders>
              <w:left w:val="single" w:color="auto" w:sz="4" w:space="0"/>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0"/>
                <w:sz w:val="22"/>
                <w:szCs w:val="22"/>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现有</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基础</w:t>
            </w:r>
          </w:p>
        </w:tc>
        <w:tc>
          <w:tcPr>
            <w:tcW w:w="7239" w:type="dxa"/>
            <w:gridSpan w:val="4"/>
            <w:tcBorders>
              <w:top w:val="single" w:color="auto" w:sz="4" w:space="0"/>
              <w:left w:val="nil"/>
              <w:bottom w:val="single" w:color="auto" w:sz="4" w:space="0"/>
              <w:right w:val="single" w:color="auto" w:sz="4" w:space="0"/>
            </w:tcBorders>
            <w:noWrap w:val="0"/>
            <w:vAlign w:val="center"/>
          </w:tcPr>
          <w:p>
            <w:pPr>
              <w:widowControl w:val="0"/>
              <w:numPr>
                <w:ilvl w:val="0"/>
                <w:numId w:val="2"/>
              </w:numPr>
              <w:ind w:firstLine="0" w:firstLineChars="0"/>
              <w:jc w:val="both"/>
              <w:rPr>
                <w:rStyle w:val="3"/>
                <w:rFonts w:hint="eastAsia"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开展的工作</w:t>
            </w:r>
          </w:p>
          <w:p>
            <w:pPr>
              <w:widowControl w:val="0"/>
              <w:numPr>
                <w:numId w:val="0"/>
              </w:numPr>
              <w:ind w:firstLine="440" w:firstLineChars="200"/>
              <w:jc w:val="both"/>
              <w:rPr>
                <w:rStyle w:val="3"/>
                <w:rFonts w:hint="eastAsia"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该产品是我公司为解决现有技术编码实现复杂，当前程序段的解释分析依赖后续程序段，影响加工精度及进度等问题研究开发的，于2019年3月开始进行研究开发，届时研究了省内首台“基于前瞻预取技术数控系统的CK0640车床”设备。目前该设备已申报山东省首台套装备。</w:t>
            </w:r>
          </w:p>
          <w:p>
            <w:pPr>
              <w:widowControl w:val="0"/>
              <w:numPr>
                <w:ilvl w:val="0"/>
                <w:numId w:val="2"/>
              </w:numPr>
              <w:ind w:firstLine="0" w:firstLineChars="0"/>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所处阶段</w:t>
            </w:r>
          </w:p>
          <w:p>
            <w:pPr>
              <w:widowControl w:val="0"/>
              <w:numPr>
                <w:numId w:val="0"/>
              </w:numPr>
              <w:ind w:firstLine="440" w:firstLineChars="200"/>
              <w:jc w:val="both"/>
              <w:rPr>
                <w:rStyle w:val="3"/>
                <w:rFonts w:hint="default" w:ascii="宋体" w:hAnsi="宋体" w:eastAsia="宋体" w:cs="宋体"/>
                <w:kern w:val="0"/>
                <w:sz w:val="22"/>
                <w:szCs w:val="22"/>
                <w:lang w:val="en-US" w:eastAsia="zh-CN" w:bidi="ar-SA"/>
              </w:rPr>
            </w:pPr>
            <w:r>
              <w:rPr>
                <w:rStyle w:val="3"/>
                <w:rFonts w:hint="default" w:ascii="宋体" w:hAnsi="宋体" w:eastAsia="宋体" w:cs="宋体"/>
                <w:kern w:val="0"/>
                <w:sz w:val="22"/>
                <w:szCs w:val="22"/>
                <w:lang w:val="en-US" w:eastAsia="zh-CN" w:bidi="ar-SA"/>
              </w:rPr>
              <w:t>该产品已于2021年5月取得了山东省机械设计研究院机械产品质检中心出具的检验报告，报告编号：20210706012。检验结论：基于前瞻预取技术的CK0640数控精密车床各项整机性能指标，均符合JB/T4368.1-2013《数控卧式车床和车削中心  第1部分：技术条件》标准及《基于前瞻预取技术的CK0640数控精密车床设计任务书》的要求。</w:t>
            </w:r>
            <w:r>
              <w:rPr>
                <w:rStyle w:val="3"/>
                <w:rFonts w:hint="eastAsia" w:ascii="宋体" w:hAnsi="宋体" w:eastAsia="宋体" w:cs="宋体"/>
                <w:kern w:val="0"/>
                <w:sz w:val="22"/>
                <w:szCs w:val="22"/>
                <w:lang w:val="en-US" w:eastAsia="zh-CN" w:bidi="ar-SA"/>
              </w:rPr>
              <w:t>并且目前已开始对外销售。</w:t>
            </w:r>
          </w:p>
          <w:p>
            <w:pPr>
              <w:widowControl w:val="0"/>
              <w:numPr>
                <w:ilvl w:val="0"/>
                <w:numId w:val="2"/>
              </w:numPr>
              <w:ind w:firstLine="0" w:firstLineChars="0"/>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投入资金和人力</w:t>
            </w:r>
          </w:p>
          <w:p>
            <w:pPr>
              <w:widowControl w:val="0"/>
              <w:numPr>
                <w:numId w:val="0"/>
              </w:numPr>
              <w:ind w:firstLine="440" w:firstLineChars="200"/>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该项目投入约29.53万元，目前现有技术开发人员6人，其中，在读博士1人，研究生2人；同时外聘兼职技术专家、教授、高级工程师3人。</w:t>
            </w:r>
          </w:p>
          <w:p>
            <w:pPr>
              <w:widowControl w:val="0"/>
              <w:numPr>
                <w:ilvl w:val="0"/>
                <w:numId w:val="2"/>
              </w:numPr>
              <w:ind w:firstLine="0" w:firstLineChars="0"/>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仪器设备</w:t>
            </w:r>
          </w:p>
          <w:p>
            <w:pPr>
              <w:widowControl w:val="0"/>
              <w:numPr>
                <w:ilvl w:val="0"/>
                <w:numId w:val="2"/>
              </w:numPr>
              <w:ind w:firstLine="0" w:firstLineChars="0"/>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生产条件</w:t>
            </w:r>
          </w:p>
          <w:p>
            <w:pPr>
              <w:widowControl w:val="0"/>
              <w:numPr>
                <w:numId w:val="0"/>
              </w:numPr>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目前公司现有生产、研发车间3000平方。</w:t>
            </w:r>
          </w:p>
          <w:p>
            <w:pPr>
              <w:widowControl w:val="0"/>
              <w:numPr>
                <w:ilvl w:val="0"/>
                <w:numId w:val="2"/>
              </w:numPr>
              <w:ind w:firstLine="0" w:firstLineChars="0"/>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其他</w:t>
            </w: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63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产学研合作要求</w:t>
            </w: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简要</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描述</w:t>
            </w:r>
          </w:p>
        </w:tc>
        <w:tc>
          <w:tcPr>
            <w:tcW w:w="7239"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（希望与哪类高校、科研院所开展产学研合作，共建创新载体,以及对专家及团队所属领域和水平的要求)</w:t>
            </w:r>
          </w:p>
          <w:p>
            <w:pPr>
              <w:widowControl w:val="0"/>
              <w:ind w:firstLine="0" w:firstLineChars="0"/>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公司意向与智能制造、工业互联网、数控系统开发、机械臂及3D打印等方面研究的科研院校或团队合作。</w:t>
            </w: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0"/>
                <w:sz w:val="22"/>
                <w:szCs w:val="22"/>
                <w:lang w:val="en-US" w:eastAsia="zh-CN" w:bidi="ar-SA"/>
              </w:rPr>
            </w:pPr>
          </w:p>
        </w:tc>
        <w:tc>
          <w:tcPr>
            <w:tcW w:w="876" w:type="dxa"/>
            <w:tcBorders>
              <w:top w:val="single" w:color="auto" w:sz="4" w:space="0"/>
              <w:left w:val="nil"/>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合作</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方式</w:t>
            </w:r>
          </w:p>
        </w:tc>
        <w:tc>
          <w:tcPr>
            <w:tcW w:w="7239" w:type="dxa"/>
            <w:gridSpan w:val="4"/>
            <w:tcBorders>
              <w:top w:val="single" w:color="auto" w:sz="4" w:space="0"/>
              <w:left w:val="nil"/>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2"/>
                <w:sz w:val="22"/>
                <w:szCs w:val="22"/>
                <w:lang w:val="en-US" w:eastAsia="zh-CN" w:bidi="ar-SA"/>
              </w:rPr>
              <w:t xml:space="preserve">技术转让    </w:t>
            </w: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2"/>
                <w:sz w:val="22"/>
                <w:szCs w:val="22"/>
                <w:lang w:val="en-US" w:eastAsia="zh-CN" w:bidi="ar-SA"/>
              </w:rPr>
              <w:t>技术入股  　</w:t>
            </w: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2"/>
                <w:sz w:val="22"/>
                <w:szCs w:val="22"/>
                <w:lang w:val="en-US" w:eastAsia="zh-CN" w:bidi="ar-SA"/>
              </w:rPr>
              <w:t xml:space="preserve">联合开发   </w:t>
            </w: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2"/>
                <w:sz w:val="22"/>
                <w:szCs w:val="22"/>
                <w:lang w:val="en-US" w:eastAsia="zh-CN" w:bidi="ar-SA"/>
              </w:rPr>
              <w:t>委托研发　</w:t>
            </w:r>
          </w:p>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□委托团队、专家长期技术服务    □共建新研发、生产实体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其他需求</w:t>
            </w:r>
          </w:p>
        </w:tc>
        <w:tc>
          <w:tcPr>
            <w:tcW w:w="8115" w:type="dxa"/>
            <w:gridSpan w:val="5"/>
            <w:tcBorders>
              <w:top w:val="single" w:color="auto" w:sz="4" w:space="0"/>
              <w:left w:val="nil"/>
              <w:bottom w:val="single" w:color="auto" w:sz="4" w:space="0"/>
              <w:right w:val="single" w:color="auto" w:sz="4" w:space="0"/>
            </w:tcBorders>
            <w:noWrap w:val="0"/>
            <w:vAlign w:val="center"/>
          </w:tcPr>
          <w:p>
            <w:pPr>
              <w:pStyle w:val="4"/>
              <w:widowControl w:val="0"/>
              <w:ind w:firstLine="0" w:firstLineChars="0"/>
              <w:jc w:val="left"/>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 xml:space="preserve">□技术转移　 □研发费用加计扣除  </w:t>
            </w: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2"/>
                <w:sz w:val="22"/>
                <w:szCs w:val="22"/>
                <w:lang w:val="en-US" w:eastAsia="zh-CN" w:bidi="ar-SA"/>
              </w:rPr>
              <w:t>知识产权  □科技金融　</w:t>
            </w:r>
          </w:p>
          <w:p>
            <w:pPr>
              <w:pStyle w:val="4"/>
              <w:widowControl w:val="0"/>
              <w:ind w:firstLine="0" w:firstLineChars="0"/>
              <w:jc w:val="left"/>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 xml:space="preserve">□检验检测   □质量体系 　       □行业政策  □科技政策  □招标采购 </w:t>
            </w:r>
          </w:p>
          <w:p>
            <w:pPr>
              <w:pStyle w:val="4"/>
              <w:widowControl w:val="0"/>
              <w:ind w:firstLine="0" w:firstLineChars="0"/>
              <w:jc w:val="left"/>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2"/>
                <w:sz w:val="22"/>
                <w:szCs w:val="22"/>
                <w:lang w:val="en-US" w:eastAsia="zh-CN" w:bidi="ar-SA"/>
              </w:rPr>
              <w:t>产品/服务市场占有率分析 　□市场前景分析   □企业发展战略咨询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noWrap w:val="0"/>
            <w:vAlign w:val="top"/>
          </w:tcPr>
          <w:p>
            <w:pPr>
              <w:widowControl w:val="0"/>
              <w:ind w:firstLine="0" w:firstLineChars="0"/>
              <w:jc w:val="center"/>
              <w:rPr>
                <w:rStyle w:val="3"/>
                <w:rFonts w:hint="eastAsia" w:ascii="宋体" w:hAnsi="宋体" w:eastAsia="宋体" w:cs="宋体"/>
                <w:kern w:val="2"/>
                <w:sz w:val="22"/>
                <w:szCs w:val="22"/>
                <w:u w:val="single"/>
                <w:lang w:val="en-US" w:eastAsia="zh-CN" w:bidi="ar-SA"/>
              </w:rPr>
            </w:pPr>
            <w:r>
              <w:rPr>
                <w:rFonts w:hint="eastAsia" w:ascii="宋体" w:hAnsi="宋体" w:eastAsia="宋体" w:cs="宋体"/>
                <w:b/>
                <w:bCs/>
                <w:kern w:val="2"/>
                <w:sz w:val="22"/>
                <w:szCs w:val="22"/>
                <w:lang w:val="en-US" w:eastAsia="zh-CN" w:bidi="ar-SA"/>
              </w:rPr>
              <w:t>管理信息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614"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同意公开</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需求信息</w:t>
            </w:r>
          </w:p>
        </w:tc>
        <w:tc>
          <w:tcPr>
            <w:tcW w:w="7131" w:type="dxa"/>
            <w:gridSpan w:val="3"/>
            <w:tcBorders>
              <w:top w:val="single" w:color="auto" w:sz="4" w:space="0"/>
              <w:left w:val="single" w:color="auto" w:sz="4" w:space="0"/>
              <w:bottom w:val="single" w:color="auto" w:sz="4" w:space="0"/>
              <w:right w:val="single" w:color="auto" w:sz="4" w:space="0"/>
            </w:tcBorders>
            <w:noWrap w:val="0"/>
            <w:vAlign w:val="top"/>
          </w:tcPr>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0"/>
                <w:sz w:val="22"/>
                <w:szCs w:val="22"/>
                <w:lang w:val="en-US" w:eastAsia="zh-CN" w:bidi="ar-SA"/>
              </w:rPr>
              <w:t>是　　　　　　     　  　</w:t>
            </w:r>
            <w:r>
              <w:rPr>
                <w:rFonts w:hint="eastAsia" w:ascii="宋体" w:hAnsi="宋体" w:eastAsia="宋体" w:cs="宋体"/>
                <w:kern w:val="2"/>
                <w:sz w:val="22"/>
                <w:szCs w:val="22"/>
                <w:lang w:val="en-US" w:eastAsia="zh-CN" w:bidi="ar-SA"/>
              </w:rPr>
              <w:t>　□否</w:t>
            </w:r>
          </w:p>
          <w:p>
            <w:pPr>
              <w:widowControl w:val="0"/>
              <w:ind w:firstLine="0" w:firstLineChars="0"/>
              <w:jc w:val="both"/>
              <w:rPr>
                <w:rStyle w:val="3"/>
                <w:rFonts w:hint="eastAsia" w:ascii="宋体" w:hAnsi="宋体" w:eastAsia="宋体" w:cs="宋体"/>
                <w:kern w:val="2"/>
                <w:sz w:val="22"/>
                <w:szCs w:val="22"/>
                <w:u w:val="single"/>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部分公开（说明)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同意接受</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专家服务</w:t>
            </w:r>
          </w:p>
        </w:tc>
        <w:tc>
          <w:tcPr>
            <w:tcW w:w="7131" w:type="dxa"/>
            <w:gridSpan w:val="3"/>
            <w:tcBorders>
              <w:top w:val="single" w:color="auto" w:sz="4" w:space="0"/>
              <w:left w:val="single" w:color="auto" w:sz="4" w:space="0"/>
              <w:bottom w:val="single" w:color="auto" w:sz="4" w:space="0"/>
              <w:right w:val="single" w:color="auto" w:sz="4" w:space="0"/>
            </w:tcBorders>
            <w:noWrap w:val="0"/>
            <w:vAlign w:val="top"/>
          </w:tcPr>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0"/>
                <w:sz w:val="22"/>
                <w:szCs w:val="22"/>
                <w:lang w:val="en-US" w:eastAsia="zh-CN" w:bidi="ar-SA"/>
              </w:rPr>
              <w:t xml:space="preserve">是   　     　 　　   </w:t>
            </w:r>
          </w:p>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同意参与解决方案筛选评价</w:t>
            </w:r>
          </w:p>
        </w:tc>
        <w:tc>
          <w:tcPr>
            <w:tcW w:w="7131"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0"/>
                <w:sz w:val="22"/>
                <w:szCs w:val="22"/>
                <w:lang w:val="en-US" w:eastAsia="zh-CN" w:bidi="ar-SA"/>
              </w:rPr>
              <w:t>是</w:t>
            </w:r>
          </w:p>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同意出资奖励优秀解决方案</w:t>
            </w:r>
          </w:p>
        </w:tc>
        <w:tc>
          <w:tcPr>
            <w:tcW w:w="7131" w:type="dxa"/>
            <w:gridSpan w:val="3"/>
            <w:tcBorders>
              <w:top w:val="single" w:color="auto" w:sz="4" w:space="0"/>
              <w:left w:val="single" w:color="auto" w:sz="4" w:space="0"/>
              <w:bottom w:val="single" w:color="auto" w:sz="4" w:space="0"/>
              <w:right w:val="single" w:color="auto" w:sz="4" w:space="0"/>
            </w:tcBorders>
            <w:noWrap w:val="0"/>
            <w:vAlign w:val="top"/>
          </w:tcPr>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0"/>
                <w:sz w:val="22"/>
                <w:szCs w:val="22"/>
                <w:lang w:val="en-US" w:eastAsia="zh-CN" w:bidi="ar-SA"/>
              </w:rPr>
              <w:t>是, 金额</w:t>
            </w:r>
            <w:r>
              <w:rPr>
                <w:rFonts w:hint="eastAsia" w:ascii="宋体" w:hAnsi="宋体" w:eastAsia="宋体" w:cs="宋体"/>
                <w:kern w:val="2"/>
                <w:sz w:val="22"/>
                <w:szCs w:val="22"/>
                <w:lang w:val="en-US" w:eastAsia="zh-CN" w:bidi="ar-SA"/>
              </w:rPr>
              <w:t>万元.</w:t>
            </w:r>
            <w:r>
              <w:rPr>
                <w:rFonts w:hint="eastAsia" w:ascii="宋体" w:hAnsi="宋体" w:eastAsia="宋体" w:cs="宋体"/>
                <w:kern w:val="0"/>
                <w:sz w:val="22"/>
                <w:szCs w:val="22"/>
                <w:lang w:val="en-US" w:eastAsia="zh-CN" w:bidi="ar-SA"/>
              </w:rPr>
              <w:t>(奖金仅用作鼓励挑战者,不作为技术转让、技术许可或其他独占性合作的前提条件)</w:t>
            </w:r>
          </w:p>
          <w:p>
            <w:pPr>
              <w:widowControl w:val="0"/>
              <w:ind w:firstLine="0" w:firstLineChars="0"/>
              <w:jc w:val="both"/>
              <w:rPr>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否</w:t>
            </w:r>
            <w:r>
              <w:rPr>
                <w:rFonts w:hint="eastAsia" w:ascii="宋体" w:hAnsi="宋体" w:eastAsia="宋体" w:cs="宋体"/>
                <w:kern w:val="0"/>
                <w:sz w:val="22"/>
                <w:szCs w:val="22"/>
                <w:lang w:val="en-US" w:eastAsia="zh-CN" w:bidi="ar-SA"/>
              </w:rPr>
              <w:br w:type="textWrapping"/>
            </w:r>
            <w:r>
              <w:rPr>
                <w:rFonts w:hint="eastAsia" w:ascii="宋体" w:hAnsi="宋体" w:eastAsia="宋体" w:cs="宋体"/>
                <w:kern w:val="0"/>
                <w:sz w:val="22"/>
                <w:szCs w:val="22"/>
                <w:lang w:val="en-US" w:eastAsia="zh-CN" w:bidi="ar-SA"/>
              </w:rPr>
              <w:t xml:space="preserve">      　　　　 　 　</w:t>
            </w:r>
          </w:p>
          <w:p>
            <w:pPr>
              <w:widowControl w:val="0"/>
              <w:ind w:firstLine="0" w:firstLineChars="0"/>
              <w:jc w:val="both"/>
              <w:rPr>
                <w:rFonts w:hint="eastAsia" w:ascii="宋体" w:hAnsi="宋体" w:eastAsia="宋体" w:cs="宋体"/>
                <w:kern w:val="0"/>
                <w:sz w:val="22"/>
                <w:szCs w:val="22"/>
                <w:lang w:val="en-US" w:eastAsia="zh-CN" w:bidi="ar-SA"/>
              </w:rPr>
            </w:pPr>
          </w:p>
          <w:p>
            <w:pPr>
              <w:widowControl w:val="0"/>
              <w:ind w:firstLine="0" w:firstLineChars="0"/>
              <w:jc w:val="both"/>
              <w:rPr>
                <w:rFonts w:hint="eastAsia" w:ascii="宋体" w:hAnsi="宋体" w:eastAsia="宋体" w:cs="宋体"/>
                <w:kern w:val="0"/>
                <w:sz w:val="22"/>
                <w:szCs w:val="22"/>
                <w:lang w:val="en-US" w:eastAsia="zh-CN" w:bidi="ar-SA"/>
              </w:rPr>
            </w:pPr>
          </w:p>
          <w:p>
            <w:pPr>
              <w:widowControl w:val="0"/>
              <w:ind w:firstLine="0" w:firstLineChars="0"/>
              <w:jc w:val="both"/>
              <w:rPr>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　　 　   法人代表：　  　  　    　　年  月 　日</w:t>
            </w:r>
          </w:p>
        </w:tc>
      </w:tr>
    </w:tbl>
    <w:p>
      <w:pPr>
        <w:widowControl w:val="0"/>
        <w:ind w:firstLine="0" w:firstLineChars="0"/>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填表说明：</w:t>
      </w:r>
    </w:p>
    <w:p>
      <w:pPr>
        <w:widowControl w:val="0"/>
        <w:numPr>
          <w:ilvl w:val="0"/>
          <w:numId w:val="3"/>
        </w:numPr>
        <w:ind w:firstLine="0" w:firstLineChars="0"/>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所述行业：1.农、林、牧、渔业；2.采矿业；3.制造业；4.电力、热力、燃气及谁生产和供应业；5.建筑业；6.交通运输、仓储和邮政业；7.信息传输、软件和信息技术服务业；8.科学研究和技术服务业；9.水利、环境和公共设施管理业；10.卫生和社会工作；11.文化、体育和娱乐业。</w:t>
      </w:r>
    </w:p>
    <w:p>
      <w:pPr>
        <w:widowControl w:val="0"/>
        <w:numPr>
          <w:ilvl w:val="0"/>
          <w:numId w:val="3"/>
        </w:numPr>
        <w:ind w:firstLine="0" w:firstLineChars="0"/>
        <w:jc w:val="left"/>
        <w:rPr>
          <w:rFonts w:hint="default"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技术领域：1.电子信息；2.生物余新医药；3.航空航天；4.新材料；5.高技术服务；6.新能源与节能；7.资源与环境；8.现金制造与自动化。</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10" w:usb3="00000000" w:csb0="00000001" w:csb1="080E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D0AD2E"/>
    <w:multiLevelType w:val="singleLevel"/>
    <w:tmpl w:val="A6D0AD2E"/>
    <w:lvl w:ilvl="0" w:tentative="0">
      <w:start w:val="1"/>
      <w:numFmt w:val="decimal"/>
      <w:suff w:val="nothing"/>
      <w:lvlText w:val="%1、"/>
      <w:lvlJc w:val="left"/>
    </w:lvl>
  </w:abstractNum>
  <w:abstractNum w:abstractNumId="1">
    <w:nsid w:val="D17E1202"/>
    <w:multiLevelType w:val="singleLevel"/>
    <w:tmpl w:val="D17E1202"/>
    <w:lvl w:ilvl="0" w:tentative="0">
      <w:start w:val="1"/>
      <w:numFmt w:val="decimal"/>
      <w:suff w:val="nothing"/>
      <w:lvlText w:val="%1、"/>
      <w:lvlJc w:val="left"/>
    </w:lvl>
  </w:abstractNum>
  <w:abstractNum w:abstractNumId="2">
    <w:nsid w:val="DB3C5D3C"/>
    <w:multiLevelType w:val="singleLevel"/>
    <w:tmpl w:val="DB3C5D3C"/>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B4706C"/>
    <w:rsid w:val="20163338"/>
    <w:rsid w:val="335D2EBA"/>
    <w:rsid w:val="59B4706C"/>
    <w:rsid w:val="7E4C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Arial"/>
      <w:kern w:val="2"/>
      <w:sz w:val="32"/>
      <w:szCs w:val="24"/>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1"/>
    <w:basedOn w:val="1"/>
    <w:qFormat/>
    <w:uiPriority w:val="0"/>
    <w:pPr>
      <w:ind w:firstLine="42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2021-06-29T06:38:00Z</dcterms:created>
  <dc:creator>夏至末</dc:creator>
  <cp:lastModifiedBy>（张  存  杰）</cp:lastModifiedBy>
  <dcterms:modified xsi:type="dcterms:W3CDTF">2021-08-24T06:52:36Z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FC3FF5C1CDF2434EA05833E0E63C792B</vt:lpwstr>
  </property>
</Properties>
</file>