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left"/>
        <w:rPr>
          <w:rFonts w:hint="eastAsia" w:ascii="宋体" w:hAnsi="宋体" w:eastAsia="宋体" w:cs="宋体"/>
          <w:b/>
          <w:bCs/>
          <w:sz w:val="28"/>
          <w:szCs w:val="28"/>
          <w:lang w:eastAsia="zh-CN"/>
        </w:rPr>
      </w:pPr>
      <w:bookmarkStart w:id="0" w:name="_Toc29952"/>
      <w:r>
        <w:rPr>
          <w:rFonts w:hint="eastAsia" w:ascii="宋体" w:hAnsi="宋体" w:eastAsia="宋体" w:cs="宋体"/>
          <w:b/>
          <w:bCs/>
          <w:sz w:val="28"/>
          <w:szCs w:val="28"/>
        </w:rPr>
        <w:t>附件</w:t>
      </w:r>
      <w:r>
        <w:rPr>
          <w:rFonts w:hint="eastAsia" w:ascii="宋体" w:hAnsi="宋体" w:eastAsia="宋体" w:cs="宋体"/>
          <w:b/>
          <w:bCs/>
          <w:sz w:val="28"/>
          <w:szCs w:val="28"/>
          <w:lang w:val="en-US" w:eastAsia="zh-CN"/>
        </w:rPr>
        <w:t>1</w:t>
      </w:r>
      <w:bookmarkStart w:id="85" w:name="_GoBack"/>
      <w:bookmarkEnd w:id="85"/>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方正小标宋_GBK" w:hAnsi="方正小标宋_GBK" w:eastAsia="方正小标宋_GBK" w:cs="方正小标宋_GBK"/>
          <w:b w:val="0"/>
          <w:bCs w:val="0"/>
          <w:i w:val="0"/>
          <w:iCs w:val="0"/>
          <w:caps w:val="0"/>
          <w:color w:val="auto"/>
          <w:spacing w:val="0"/>
          <w:kern w:val="0"/>
          <w:sz w:val="44"/>
          <w:szCs w:val="44"/>
          <w:highlight w:val="none"/>
          <w:shd w:val="clear" w:color="auto" w:fill="FFFFFF"/>
          <w:lang w:val="en-US" w:eastAsia="zh-CN" w:bidi="ar"/>
        </w:rPr>
      </w:pPr>
      <w:r>
        <w:rPr>
          <w:rFonts w:hint="eastAsia" w:ascii="方正小标宋_GBK" w:hAnsi="方正小标宋_GBK" w:eastAsia="方正小标宋_GBK" w:cs="方正小标宋_GBK"/>
          <w:b w:val="0"/>
          <w:bCs w:val="0"/>
          <w:i w:val="0"/>
          <w:iCs w:val="0"/>
          <w:caps w:val="0"/>
          <w:color w:val="auto"/>
          <w:spacing w:val="0"/>
          <w:kern w:val="0"/>
          <w:sz w:val="44"/>
          <w:szCs w:val="44"/>
          <w:highlight w:val="none"/>
          <w:shd w:val="clear" w:color="auto" w:fill="FFFFFF"/>
          <w:lang w:val="en-US" w:eastAsia="zh-CN" w:bidi="ar"/>
        </w:rPr>
        <w:t>第八届中国创新挑战赛（山东临沂）赛区</w:t>
      </w:r>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val="0"/>
          <w:bCs w:val="0"/>
          <w:i w:val="0"/>
          <w:iCs w:val="0"/>
          <w:caps w:val="0"/>
          <w:color w:val="auto"/>
          <w:spacing w:val="0"/>
          <w:kern w:val="0"/>
          <w:sz w:val="44"/>
          <w:szCs w:val="44"/>
          <w:highlight w:val="none"/>
          <w:shd w:val="clear" w:color="auto" w:fill="FFFFFF"/>
          <w:lang w:val="en-US" w:eastAsia="zh-CN" w:bidi="ar"/>
        </w:rPr>
      </w:pPr>
      <w:r>
        <w:rPr>
          <w:rFonts w:hint="eastAsia" w:ascii="方正小标宋_GBK" w:hAnsi="方正小标宋_GBK" w:eastAsia="方正小标宋_GBK" w:cs="方正小标宋_GBK"/>
          <w:b w:val="0"/>
          <w:bCs w:val="0"/>
          <w:i w:val="0"/>
          <w:iCs w:val="0"/>
          <w:caps w:val="0"/>
          <w:color w:val="auto"/>
          <w:spacing w:val="0"/>
          <w:kern w:val="0"/>
          <w:sz w:val="44"/>
          <w:szCs w:val="44"/>
          <w:highlight w:val="none"/>
          <w:shd w:val="clear" w:color="auto" w:fill="FFFFFF"/>
          <w:lang w:val="en-US" w:eastAsia="zh-CN" w:bidi="ar"/>
        </w:rPr>
        <w:t>需求发布</w:t>
      </w:r>
    </w:p>
    <w:sdt>
      <w:sdtPr>
        <w:rPr>
          <w:rFonts w:ascii="宋体" w:hAnsi="宋体" w:eastAsia="宋体" w:cstheme="minorBidi"/>
          <w:kern w:val="2"/>
          <w:sz w:val="21"/>
          <w:szCs w:val="24"/>
          <w:lang w:val="en-US" w:eastAsia="zh-CN" w:bidi="ar-SA"/>
        </w:rPr>
        <w:id w:val="147453388"/>
        <w15:color w:val="DBDBDB"/>
        <w:docPartObj>
          <w:docPartGallery w:val="Table of Contents"/>
          <w:docPartUnique/>
        </w:docPartObj>
      </w:sdtPr>
      <w:sdtEndPr>
        <w:rPr>
          <w:rFonts w:ascii="宋体" w:hAnsi="宋体" w:eastAsia="宋体" w:cstheme="minorBidi"/>
          <w:kern w:val="2"/>
          <w:sz w:val="21"/>
          <w:szCs w:val="24"/>
          <w:lang w:val="en-US" w:eastAsia="zh-CN" w:bidi="ar-SA"/>
        </w:rPr>
      </w:sdtEndPr>
      <w:sdtContent>
        <w:p>
          <w:bookmarkStart w:id="1" w:name="_Toc16236"/>
        </w:p>
      </w:sdtContent>
    </w:sdt>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2" w:name="_Toc25063"/>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一、铸管内衬裂纹缺陷的预防与控制</w:t>
      </w:r>
      <w:bookmarkEnd w:id="1"/>
      <w:bookmarkEnd w:id="2"/>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离心球墨铸铁管凭其优异的性能，完美的柔性接口，密封效果好，防腐性能优异，强度高，韧性强，屈服强度甚至超过铸钢等集众多优点集一身，使其广泛应用于市政、工矿企业给水、输气、输油等，是供水管材的首选，具有很高的性价比，广泛的应用于多种领域，拥有着广阔的发展前景。而球墨铸铁管主要运用在输水量较大的工程，其铸造完成后，须在铸铁管内部进行离心涂衬，即在铸管内壁上通过离心涂衬水泥砂浆以形成衬层，才能完成整个铸管工艺。球墨铸铁管内衬水泥砂浆，可以起到对球铁材质的保护作用，抑制微生物生长，保持水质清洁，减少管道运行时的水的阻力，是一种性价比高的内衬材料。</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球墨铸铁管离心涂衬水泥砂浆衬层在整个产品生命周期中常出现内衬裂纹的缺陷，大大缩短了铸管的生命周期，造成产品外观质量和局部强度较差。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如何提高球墨铸铁管涂衬质量，减少裂纹缺陷，是我们目前急需解决的技术问题。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中大管减少 2%缺陷率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（1）在保证水质的前提下，增加添加剂。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（2）砂子粒度大小。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（3）水泥强度和细度范围。</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（4）提高砂灰比，减少内衬水泥乳浆层。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3" w:name="_Toc9079"/>
      <w:bookmarkStart w:id="4" w:name="_Toc13358"/>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二、针对餐厨沼液中细纤维无法去除，堵塞后端污水处理膜装置，能够在前段进入污水处理前将细小纤维进行全部过滤</w:t>
      </w:r>
      <w:bookmarkEnd w:id="3"/>
      <w:bookmarkEnd w:id="4"/>
      <w:bookmarkStart w:id="5" w:name="_Toc26564"/>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采用预处理（机械分选制浆和水力制浆）+油水分离+厌氧发酵+污水处理工艺。（包括主要技术、条件、成熟度、成本等指标）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3.餐厨废弃物油脂提取后的浆料进入厌氧发酵无法将沼液中的细小纤维消化掉，影响后期的污水处理系统。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针对餐厨沼液中细纤维无法去除，堵塞后端污水处理膜装置，能够在前段进入污水处理前将细小纤维进行全部过滤。</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将餐厨废弃物沼液中超过大于60目的细小纤维进行过滤去除，去除率达到80%以上。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餐厨废弃物处理工艺，沼液处理，细小纤维去除技术二、腔过敏原阻隔剂对新冠病毒尺寸纳米颗粒的阻隔性能研究</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6" w:name="_Toc9813"/>
      <w:bookmarkStart w:id="7" w:name="_Toc22480"/>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三、在目前原有设备的基础上尽可能减少电耗的增加并进一步降低干化污泥含水率</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我公司污泥项目使用的是液压隔膜压滤机，型号为XAZGFQ800/2000-U，脱水技术较为成熟，目前市场有在此压滤机基础上进一步干化的产品。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脱水技术较为成熟，但针对市政污泥含水率普遍还是较高。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针对压滤机处理市政污泥脱水问题，希望开展进一步降低含水率的技术研究，突破现在市场上的电热板后续加热技术，提供更为先进的技术。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4.需求参数目标：参照目前设备参数。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5.考虑的方向：在目前原有设备的基础上尽可能减少电耗的增加并进一步降低干化污泥含水率。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8" w:name="_Toc14621"/>
      <w:bookmarkStart w:id="9" w:name="_Toc25094"/>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四、草莓叶片黄化病的治理</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为了解决草莓黄化病，提高产能，减低死亡率，市面上的大多数药物只是通用型药物。</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3.技术难点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各种因素不稳定（土壤，环境，温度，湿度等）</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主要技术经济指标 P2O5≥330g/L, Ca≥86g/L,NO2≥45g/L,B≥1.5g/L.MO≥1.6,螯合锌Zn≥4.5 g/L</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lang w:val="en-US" w:eastAsia="zh-CN"/>
        </w:rPr>
      </w:pPr>
      <w:bookmarkStart w:id="10" w:name="_Toc13203"/>
      <w:bookmarkStart w:id="11" w:name="_Toc6269"/>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五、采用环保色浆的绿色印刷无纺布袋的技术开发</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1、环保色浆材料的制备：开展原料配方设计，原料配方及工艺路线设计，完成环保色浆的制备，使其性能达到设计要求，并优化改进。</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2、应用于色印刷无纺布袋的产业化开发：设置全封闭印刷单元，减少溶剂在车间内的扩散，针对无纺布的印染特性，选择以聚酯/聚氨酯为主连结料的醇溶性塑料凹印油墨，在无纺布袋内部设置微生物附着纹。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3、提高光泽性和耐磨性：采用热熔粘合剂将镀铝膜黏接到无纺布内外表面，通过数字化印刷技术采用喷墨工艺在外层镀铝膜上进行印刷，并采用水性上光油对外侧进行印后处理。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12" w:name="_Toc30956"/>
      <w:bookmarkStart w:id="13" w:name="_Toc31891"/>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六、水质环境监测系统关键技术的研究</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针对现有技术，通过计算机可读存储介质，其上存储有计算机程序，通过计算机程序在运行时来实现，可提高初筛环境监测数据集的精度和可信度。</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2、水污染智能检测系统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进行实时监控，能够获得与该水域相关的更加详细的信息。设备可以重复利用，软硬件结合，可以使该装置实现对水质的实时检测。</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3、生态环境智慧管理系统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生态环境智慧管理系统提供多种技术检测数据实时获取功能，实现集成化功能，建立快速分析模型，实现综合分析和不同功能先进、智能的生态环境调查与评价数据库管理信息系统。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4、改进统计分析技术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利用光谱分辨率较低的宽波段遥感数据得到的水质参数算法精度都不是很高，可以借鉴已在地质、生态等领域应用的混合光谱分解技术，人工神经网络分类技术等，充分挖掘水质信息，建立不受时间和地域限制的水质参数反演算法，提高遥感定量监测精度。</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14" w:name="_Toc19170"/>
      <w:bookmarkStart w:id="15" w:name="_Toc32269"/>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七、基于数据中台的公共数据全生命周期治理体系及路径关键技术研究与应用</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16" w:name="_Toc18808"/>
      <w:bookmarkStart w:id="17" w:name="_Toc6097"/>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围绕基于数据中台的公共数据全生命周期治理体系及可行路径关键技术开展研究，对数据采集、存储、交换、管理、挖掘、计算、运维等全流程治理的共性关键技术进行研究，对数据的在线、近线、离线、销毁等生命周期进行有效管理，实现公共数据资源的开放共享与创新应用。（1）搭建公共数据采集层，利用FTP/SFTP、Sqoop、Kafka、Flume等开源组件和技术，完成数据采集相关工具、组件的安装、部署和集成，实现内外部结构化数据、非结构化数据和流数据的自动化采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（2）研究海量数据统一存储管理机制，统一的计算引擎和各种数据存储引擎的连接能力，通过引擎对接多种不同数据存储引擎进行计算；</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（3）构建统一数据交换架构，研究不同数据格式、传输频次的数据规范交换路径，进行数据加载、数据校验、数据清洗、数据稽查、数据转换等预处理，实现数据中台内各存储区之间的数据交换功能；</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（4）研发数据管理系统，对数据的在线、近线、离线、销毁等生命周期进行有效管理；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（5）构建机器学习算法库，依托数据进行离线训练和在线预测，对流数据进行分布式训练并同步更新在线预测模型，通过特征工程、聚类、分类、推荐、异常检测、时序预测等算法模型进行在线预测；</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（6）制定数据安全策略，通过多租户管理体系、安全认证、密码策略、HDFS透明加密、列级加密、动态加密等方式确保数据全生命周期高安全性；</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（7）打造公共数据应用场景，探索在企业科技创新、美德建设、普惠金融等领域释放数据资源的合规、高效开放应用。</w:t>
      </w:r>
    </w:p>
    <w:bookmarkEnd w:id="16"/>
    <w:bookmarkEnd w:id="17"/>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超大功率连接器技术研发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18" w:name="_Toc3968"/>
      <w:bookmarkStart w:id="19" w:name="_Toc30732"/>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适用于电磁发射武器，配接大功率同轴电缆，能在10KV工作电压下承载35KA脉冲电流的超大功率电连接器，目前处于技术空白阶段，在国内地面装备中尚没有成熟的产品问世。为解决对电磁武器快速安全可靠的充电问题，迫切需要研制适用于电磁发射的新型超大功率连接器。“卡脖子”关键技术难题：大电流接触件设计、高电压结构设计、温升控制。</w:t>
      </w:r>
    </w:p>
    <w:bookmarkEnd w:id="18"/>
    <w:bookmarkEnd w:id="19"/>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20" w:name="_Toc28262"/>
      <w:bookmarkStart w:id="21" w:name="_Toc25563"/>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八、农产品安全快速精准识别及智能装备平台</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22" w:name="_Toc1670"/>
      <w:bookmarkStart w:id="23" w:name="_Toc3791"/>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技术需求介绍:针对农产品中的农药、兽药、重金属残留，研究基于仿生精准识别芯片的农产品安全快速精准识别技术及智能装备平台。要求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1.对植物性农产品和液态动物性农产品无需样品前处理步骤，且进样量能≥15mL；</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2.芯片具备高效净化功能，农产品未经前处理直接进行芯片识别后，样品中蛋白质、色素等总干扰成分含量≤30%；</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3.芯片具备精准识别功能，实现特异性识别农药、兽药和重金属三类有害物10种以上；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4.芯片信号捕获部件的具体仪器参数：光狭缝&gt;3.5nm，芯片光斑照射面积≥5平方厘米；</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5.高通量智能检测装置，集成仿生芯片操作单元、检测单元、检测信号输出单元、智能数据分析单元、数据打印单元；</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6.方法检出限≤20ppb，回收率80-110%，精密度＜15%，检测时间≤30min；</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7.完成系列农药、兽药、重金属残留检测产品的开发，完成基体标准物质5个以上。</w:t>
      </w:r>
    </w:p>
    <w:bookmarkEnd w:id="22"/>
    <w:bookmarkEnd w:id="23"/>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24" w:name="_Toc13488"/>
      <w:bookmarkStart w:id="25" w:name="_Toc7700"/>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九、煤化工合成气黑水气态膜脱氨技术及循环灰水诱导造粒除硬技术产业化装备研发</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26" w:name="_Toc17058"/>
      <w:bookmarkStart w:id="27" w:name="_Toc15229"/>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针对煤化工气化黑水，研制新型疏水性脱气膜系统级产品，取代现有高温汽提塔，实现在常温下脱氨、脱二氧化碳、节能降耗、资源化利用的绿色清洁工艺装备研发示范，技术指标：所研制的示范样机技术成熟度需达到工程化6级阶段（试验品要通过使用环境验证），处理量需达到10吨/小时，氨氮去除率大于92.5%，蒸汽消耗由原有汽提塔工艺的5吨/小时降为0吨/小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针对煤化工产生的灰水循环水，研制出新型诱导结晶造粒流化床反应器流态设计和工艺控制手段，实现钙镁离子在流化晶体表面的结晶，形成致密的钙镁颗粒沉淀物，从而实现高效分离和资源化综合利用，。技术指标要求：研制的示范样机技术成熟度需要达到需达到工程化6级阶段（试验品要通过使用环境验证），钙镁离子硬度去除率达到75%以上。综合利用合成气洗涤水脱气膜处理后产生的含碳酸钠废水，取代外购工业碳酸钠原料，碳酸钠：外购量为0；结晶形成的碳酸钙颗粒（直径在2-3mm）成型率大于90%。</w:t>
      </w:r>
    </w:p>
    <w:bookmarkEnd w:id="26"/>
    <w:bookmarkEnd w:id="27"/>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28" w:name="_Toc19721"/>
      <w:bookmarkStart w:id="29" w:name="_Toc14504"/>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十、中频炉温度在线监测算法的研究及工程应用</w:t>
      </w:r>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30" w:name="_Toc29989"/>
      <w:bookmarkStart w:id="31" w:name="_Toc23692"/>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中频炉温度监测的方法主要是利用适当型号的热电偶直接接触炉水测温和通过红外测温装置测量出料口的温度进行间接测温，这两种方法均存在技术缺陷。采用热电偶直接测温的方法测温精度高但效率低，且热电偶均为一次性热电偶，测温成本高，也不利于实时监测与控制；采用红外测温装置测温的方法受工况影响，实际测量温度的精度难以满足要求。希望引进一种新型中频炉温度在线监测算法，弥补上述监测方法的缺陷。</w:t>
      </w:r>
    </w:p>
    <w:bookmarkEnd w:id="30"/>
    <w:bookmarkEnd w:id="31"/>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32" w:name="_Toc8224"/>
      <w:bookmarkStart w:id="33" w:name="_Toc4554"/>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十一、无醛抗菌防霉装饰材料关键技术</w:t>
      </w:r>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随着我国人造板行业的高速发展，浸渍纸饰面装饰材料由于价格较低，品种丰富，物理力学性能好，得到广泛应用。由于传统饰面装饰制品在存放和使用过程中容易玷污并滋生大量细菌、霉菌等有害微生物，成为疾病的重要传播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公司现有醛类树脂胶黏剂产品主要是脲醛树脂和三聚氰胺树脂，是由尿素和三聚氰胺分别与甲醛在催化剂作用下缩聚而成，制备工艺简单、生产成本低、胶接性能较好。然而，它们均存在不同程度的甲醛问题，同时也在胶合性能、耐水性及使用性能方面存在不足，且不具备持续抗菌防霉的功能。市面上采用的抗菌、防霉剂主要是利用银、锌等金属本身具有的抗菌能力，通过物理吸附或离子交换等方法，将金属或其离子固定在多孔材料表面制成抗菌剂，然后将其加入到制品中获得具有抗菌性的材料，但实际应用中存在两个难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1.材料表面采用的抗菌剂多为无机银系抗菌剂，抗菌范围广，耐腐蚀，可杀灭已感染的细菌。但无机银系抗菌剂的光敏效应很强，容易氧化变色，影响材料外观，同时也存在一定毒性和成本较高。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基材中采用的防霉剂普遍存在分散性差，影响树脂胶接性能，且多为无机材料，需要在光催化作用下才能充分发挥作用，而贴面后的基材由于无法得到光照而使防霉作用受到严重影响。因此，公司寻求解决上述“卡脖子”难题的可行性方案，即需求一种新型抗菌剂、防霉剂以及无醛抗菌防霉装饰材料关键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34" w:name="_Toc31013"/>
      <w:bookmarkStart w:id="35" w:name="_Toc15862"/>
      <w:bookmarkStart w:id="36" w:name="_Toc21471"/>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十二、阻燃环保吸醛节胶胶合板的研发</w:t>
      </w:r>
      <w:bookmarkEnd w:id="34"/>
      <w:bookmarkEnd w:id="35"/>
    </w:p>
    <w:bookmarkEnd w:id="36"/>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37" w:name="_Toc11591"/>
      <w:bookmarkStart w:id="38" w:name="_Toc21626"/>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研发一种多层胶合板用胶粘剂无醛或低醛的制备方法，保证胶合板力学性能的前提下，对胶合板的选材和结构进行优化升级，或者对胶合板表层进行工艺升级，结构改造等，使其具有新的阻燃吸醛特性。</w:t>
      </w:r>
    </w:p>
    <w:bookmarkEnd w:id="37"/>
    <w:bookmarkEnd w:id="38"/>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39" w:name="_Toc7850"/>
      <w:bookmarkStart w:id="40" w:name="_Toc24739"/>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十三、光伏发电带动石墨烯墙板取暖智能系统</w:t>
      </w:r>
      <w:bookmarkEnd w:id="39"/>
      <w:bookmarkEnd w:id="40"/>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重点克服和解决光伏发电和石墨烯取暖光电能转换装置，或者开发一种太阳能电池组件与石墨烯电热膜组成的系统，将清洁能源与新型材料领域结合起来，公司寻求能在“开发一种太阳能（石墨烯）电池组件与石墨烯电热膜组成的系统，将清洁能源与新型材料领域结合起来”领域的人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41" w:name="_Toc22066"/>
      <w:bookmarkStart w:id="42" w:name="_Toc26899"/>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十四、预制菜脱水储存技术</w:t>
      </w:r>
      <w:bookmarkEnd w:id="41"/>
      <w:bookmarkEnd w:id="42"/>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需要预制菜脱水储存技术，对生产的平菇、双孢菇等进行脱水储存、运输及销售。 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仿宋_GB2312" w:hAnsi="仿宋_GB2312" w:eastAsia="仿宋_GB2312" w:cs="仿宋_GB2312"/>
          <w:b/>
          <w:bCs/>
          <w:i w:val="0"/>
          <w:iCs w:val="0"/>
          <w:caps w:val="0"/>
          <w:color w:val="auto"/>
          <w:spacing w:val="0"/>
          <w:kern w:val="0"/>
          <w:sz w:val="32"/>
          <w:szCs w:val="32"/>
          <w:highlight w:val="none"/>
          <w:shd w:val="clear" w:color="auto" w:fill="FFFFFF"/>
          <w:lang w:val="en-US" w:eastAsia="zh-CN" w:bidi="ar"/>
        </w:rPr>
      </w:pPr>
      <w:bookmarkStart w:id="43" w:name="_Toc9821"/>
      <w:bookmarkStart w:id="44" w:name="_Toc12220"/>
      <w:r>
        <w:rPr>
          <w:rFonts w:hint="eastAsia" w:ascii="仿宋_GB2312" w:hAnsi="仿宋_GB2312" w:eastAsia="仿宋_GB2312" w:cs="仿宋_GB2312"/>
          <w:b/>
          <w:bCs/>
          <w:i w:val="0"/>
          <w:iCs w:val="0"/>
          <w:caps w:val="0"/>
          <w:color w:val="auto"/>
          <w:spacing w:val="0"/>
          <w:kern w:val="0"/>
          <w:sz w:val="32"/>
          <w:szCs w:val="32"/>
          <w:highlight w:val="none"/>
          <w:shd w:val="clear" w:color="auto" w:fill="FFFFFF"/>
          <w:lang w:val="en-US" w:eastAsia="zh-CN" w:bidi="ar"/>
        </w:rPr>
        <w:t>十五、CADI研磨球精细化改进</w:t>
      </w:r>
      <w:bookmarkEnd w:id="43"/>
      <w:bookmarkEnd w:id="44"/>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现有耐磨球的耐磨性、耐热性、耐腐蚀性等性能欠佳，不能满足现代社会对耐磨球的要求。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针对耐磨主球性能欠佳的问题，开展CADI耐磨主球成分、控制铸造方法的研究，提综合球的韧性，耐磨不易破碎且耐腐蚀，满足社会试用需求。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1.具有高硬度、高韧性的特点，在使用过程中由于加工硬化（钢球碰撞等因素）可使得钢球硬度提升5~8HRC，表面硬度达到58HRC以上。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2.磨耗相比于低铬球，磨耗降低约50%，即寿命提高1倍。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3.由于磨球的破碎率低、失圆率低及比重低等特点，在相同的填充率和级配球磨机启动和运转动力减轻，整个磨机系统在运转过程中可降低电能约5%。</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4.在使用过程中具有加工硬化、磨耗低、破碎率及失圆率低等特点。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45" w:name="_Toc26566"/>
      <w:bookmarkStart w:id="46" w:name="_Toc17543"/>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十六、水泥内衬起壳起皮、水泥内衬分层</w:t>
      </w:r>
      <w:bookmarkEnd w:id="45"/>
      <w:bookmarkEnd w:id="46"/>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水泥内衬裂纹，水泥内衬配料：水泥、砂子、水，典型比例是1:1.6:0.5，不同规格稍有变化。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使用离心方式涂覆到管子内表面，根据管径不同，内衬厚度在3-12mm不等。</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水泥内衬表面会出现环状或竖向裂纹。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水泥内衬起壳起皮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水泥内衬表面会出现起壳起皮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47" w:name="_Toc25224"/>
      <w:bookmarkStart w:id="48" w:name="_Toc6774"/>
      <w:bookmarkStart w:id="49" w:name="_Toc31061"/>
      <w:bookmarkStart w:id="50" w:name="_Toc11971"/>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十七、球铁管球化孕育问题</w:t>
      </w:r>
      <w:bookmarkEnd w:id="47"/>
      <w:bookmarkEnd w:id="48"/>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铁水成分无异常，球化后成分，特别是镁残留量也合格，在0.055%，铁水温度，球化后孕育正常，但是管子检验金相时发现球化级别低，进一步检验力学性能不合格。</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使用喂丝球化（镁含量30%-35%的镁硅铁合金丝线）以及钝化镁（镁含量92%的钝化镁颗粒）球化工艺。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孕育剂为65硅铁合金颗粒。</w:t>
      </w:r>
    </w:p>
    <w:bookmarkEnd w:id="49"/>
    <w:bookmarkEnd w:id="50"/>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51" w:name="_Toc29903"/>
      <w:bookmarkStart w:id="52" w:name="_Toc12825"/>
      <w:bookmarkStart w:id="53" w:name="_Toc30165"/>
      <w:bookmarkStart w:id="54" w:name="_Toc24814"/>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十八、球铁管表面喷锌</w:t>
      </w:r>
      <w:bookmarkEnd w:id="51"/>
      <w:bookmarkEnd w:id="52"/>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使用金属锌含量99.99%以上的纯锌丝。</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通过电极将锌丝熔化，用压缩空气喷到管子表面。</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有没有提高喷锌层附着力的途径。</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增强耐腐蚀能力的替代品。</w:t>
      </w:r>
    </w:p>
    <w:bookmarkEnd w:id="53"/>
    <w:bookmarkEnd w:id="54"/>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55" w:name="_Toc13509"/>
      <w:bookmarkStart w:id="56" w:name="_Toc24274"/>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十九、原片玻璃透过率提升2%以上</w:t>
      </w:r>
      <w:bookmarkEnd w:id="55"/>
      <w:bookmarkEnd w:id="56"/>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57" w:name="_Toc3267"/>
      <w:bookmarkStart w:id="58" w:name="_Toc2326"/>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采用高强高透光伏玻璃料方，高透热玻璃液多级熔窑结构，高压超薄压延成形工艺以及低变形传输、立体网状温度控制退火等行业先进技术。将互联网、物联网等新一代信息技术与光伏玻璃制造工业深度融合，突破传统生产模式，创建光伏玻璃智能化工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行业内厚度3.2mm原片玻璃透光率91.5%-92%之间，通过原料配方的研发调整、工艺优化使原片透光率提高2%，突破行业瓶颈。</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提升原片玻璃的透光率。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1.光伏玻璃厚度3.2mm透光率达到94%以上。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原料配比、窑炉工艺、压延辊工艺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在行业瓶颈未突破前</w:t>
      </w:r>
    </w:p>
    <w:bookmarkEnd w:id="57"/>
    <w:bookmarkEnd w:id="58"/>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59" w:name="_Toc21814"/>
      <w:bookmarkStart w:id="60" w:name="_Toc32239"/>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二十、等温淬火球墨铸铁的生产工艺改进</w:t>
      </w:r>
      <w:bookmarkEnd w:id="59"/>
      <w:bookmarkEnd w:id="60"/>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根据2017-2019年三年初步统计，全国CADI铸球年生产能力可达到25万吨，CADI铸球实际年产量在10万吨左右。预计今后2-3年内CADI铸球年生产能可达50万吨以上。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生产工艺有2-3家采用高炉铁水+中频电炉短流程双联工艺，产量将大幅度提高，每吨铸球生产成本可降低800-1000元，将大大提高产的市场竟争力。</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可以预见奥铁体铸球是替代目前在矿山湿法磨中大量使用的低铬铸球的更新换代产品，同时可以替代锻球用于大型半自磨机并取得成功。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现有耐磨球的耐磨性、耐热性、耐腐蚀性等性能欠佳，不能满足现代社会对耐磨球的要求。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  针对耐磨主球性能欠佳的问题，开展CADI耐磨主球成分、控制铸造的方法的研究，提综合球的韧性，耐磨不易破碎且耐腐蚀，满足社会试用需求。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61" w:name="_Toc28715"/>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三、需求参数目标：</w:t>
      </w:r>
      <w:bookmarkEnd w:id="61"/>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1.具有高硬度、高韧性的特点，在使用过程中由于加工硬化（钢球碰撞等因素）可使得钢球硬度提升5~8HRC，表面硬度达到58HRC以上。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2.磨耗相比于低铬球，磨耗降低约50%，即寿命提高1倍。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3.由于磨球的破碎率低、失圆率低及比重低等特点，在相同的填充率和级配球磨机启动和运转动力减轻，整个磨机系统在运转过程中可降低电能约5%。</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4.在使用过程中具有加工硬化、磨耗低、破碎率及失圆率低等特点。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62" w:name="_Toc17623"/>
      <w:bookmarkStart w:id="63" w:name="_Toc11370"/>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二十一、环保水处理高效微生物菌剂的研发与创新</w:t>
      </w:r>
      <w:bookmarkEnd w:id="62"/>
      <w:bookmarkEnd w:id="63"/>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①微生物菌剂类以传统的水产养殖和农业种植类单一菌剂和通用复合菌剂，如枯草芽孢杆菌，地衣芽孢杆菌，乳酸菌，酵母菌和 EM 菌为主，很少专用于环保领域的市政污水及工业污水专用的高品质微生物菌剂，比如硝化菌，低温硝化菌，反硝化菌，低温反硝化菌，耐盐菌，解毒菌等。②生物营养液类，主要以传统的葡萄糖、乙酸钠、甲醇等单一或者复合的化学品为主。无针对市政污水及工业废水处理中的不同水质的菌群和不同菌群亚健康状态下的维持、促进、应急用的定向含酶类绿色天然生态的复合营养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面对环保水处理领域中的生化处理系统，在冬季北部低温地区，氨氮和总氮处理效率低下问题，以及在中高难度工业水尤其是化工水领域采用传统的生物菌剂已经不能解决实质性问题。②面对环保水处理领域中的生化系统，作为当今水处理领域中的“心脏”部位和工段，对于它所需的通用营养液很难起到定向解决问题的作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环保水处理高效微生物菌剂的研发和创新，需要解决的技术问题主要有两个:第一，自然界秋筛选高效特种微生物菌剂的精准技术。第二，人工诱变新生成高效特种微生物菌剂的精准技术。②环保水处理高效生物营养液的研发与创新，需要解决的是资源化利用的工艺路线上如何把农副产品资源回收或污水处理领域固废生化性有机质污泥的综合利用高效转化成菌/酶/有机营养共存的复合营养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64" w:name="_Toc27974"/>
      <w:bookmarkStart w:id="65" w:name="_Toc31176"/>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三、需求参数目标</w:t>
      </w:r>
      <w:bookmarkEnd w:id="64"/>
      <w:bookmarkEnd w:id="65"/>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①高效微生物菌剂的单位有效含量；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②高效微生物菌剂的定向作用效率；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③高效微生物菌剂的活性保存周期；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④高效生物营养液的单位有效含量；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⑤高效生物营养液的定向作用效率；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⑥高效生物营养液的活性保存周期。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66" w:name="_Toc6800"/>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四、考虑的方向</w:t>
      </w:r>
      <w:bookmarkEnd w:id="66"/>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技术关键词: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①微生物菌种筛选、微生物菌种纯化、微生物菌种驯化、微生物菌种扩培与发酵。</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②生物促进酶技术、生物修复酶李技术、生物定向分解酶技术。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技术应用领域关键词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①低温硝化领域、低温反硝化领域、含盐水 COD 降解领域。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②高效脱氮碳源领域、高效生化氮源领域、高效生化磷源领域。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67" w:name="_Toc12289"/>
      <w:bookmarkStart w:id="68" w:name="_Toc3957"/>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二十二、人原代肿瘤细胞诱导培养技术</w:t>
      </w:r>
      <w:bookmarkEnd w:id="67"/>
      <w:bookmarkEnd w:id="68"/>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实验室目前主要开展免疫细胞和干细胞应用技术，例如：NK系列细胞、γδT细胞、MCTL细胞、CAR-T细胞、CAR系列细胞，脐带间充质干细胞、人源化肝脏干细胞、脂肪干细胞等的制备、优化升级研发，外泌体研发项目。以上项目均已实现成果转化，应用服务于市场和临床，实现了较为可观的经济效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和欧美发达国家的技术水平基本持平，但是不掌握核心技术。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企业是临沂第一家，山东省第一批专注于细胞应用研究的公司，不同于市面上一般的细胞存储类公司，具有市级区域细胞制备中心，细胞组织库，医学细胞工程重点实验室等重要资质，严格按照国家目前监管模式，以技术进行转化应用，场地，人员等资质齐全，通过十年的努力，我们在原有技术的技术上不断优化升级，同时又不断从外引进新技术，与时俱进，推陈出新。市场从本地，辐射至省内甚至全国，在上海，广州，济南都设有研发中心，营销中心，与临沂市多家公立医院，山东省立医院，安徽省立医院，首都佑安医院均有临床应用研究合作关系，目前公司的未来发展痛点和短板就是想通过自身的研发努力，拥有一批真正属于自己的科研团队，取得真正属于自己的核心技术，但是由于资金和人才的短缺，研发投入成本较高，所以进度并不理想。</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根据公司未来发展，我们急需引进三项新技术：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1.人原代肿瘤细胞诱导培养技术---应用于细胞创新药原材料供应</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2.通用型CAR细胞制备技术---应用于细胞治疗</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3.外泌体提取纯化技术---应用于化妆品研发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69" w:name="_Toc4644"/>
      <w:bookmarkStart w:id="70" w:name="_Toc4353"/>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二十三、智能锂电池大数据后台管理系统研发工作</w:t>
      </w:r>
      <w:bookmarkEnd w:id="69"/>
      <w:bookmarkEnd w:id="70"/>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锂电池作为新型绿色能源，在生产生活的各个领域应用非常广泛，锂电池的应用与管理变成了各种设备发展中一种非常关键的技术，智能锂电池的需求也越来越多，后台和云平台需要对这些锂电池设备进行远程管理、追踪和维护，其运维端与客户端对智能锂电池管理系统以及云平台的需求也日益剧增。由于早期传统的电池没有远程监控和维护，无法了解电池的使用状况，安全性能无法保障，增加了消费者的负担，用车体验差。随着国内电池市场的高速增长，推动国内 BMS 厂商加大自主开发力度，目前国内 BMS 厂家已开发出不同应用领域的电池安全管理产品，技术较为成熟，部分产品参数达到了国际先进水平。相较于国外 BMS 厂商，国内企业具备应用灵活、本地化服务的优势，更能满足国内厂商需求，近年来逐步完成产品进口替代。后备电池 BMS 市场也趋于专业化，后备电池下游应用领域极为广泛，不同应用领域用户需求各不相同，更多电池生产企业将有限的资源投向电池领域的技术研发与创新。而专业第三方 BMS厂家凭借技术积累、规模效应、专业服务等多方面优势，在专业化、细分化的市场发展趋势中，逐渐成为后备电池 BMS 行业主要供应商。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行业发展早期锂电池管理仅用硬件保护板实现简单的锂电池组部分参数保护、无法做到智能管理和智能数据交互，无法把系统的数据客户风险提前预判和预警，不仅锂电池使用安全无法达到保证，更无法实现大范围的监控和远程智能管理；这个问题在民用家庭使用二轮、三轮和低速四轮电动不是特别突出，但在城市换电领域问题尤为突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针对通讯问题，解决基于4G/5G智能锂电池新能源信息传输技术，开展分布式微网能源互联互通，构建分布式锂电池能源统一平台，区域一张网远端统一管理和调度，实现远程4G/5G实时监控和实时数据同步，通过4G/5G实现智能微网智能调度，提供多串数锂电池核心管理芯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针对城市换电领域远程大数据平台无法精确定位和监控问题，开展智能锂电池大数据后台管理系统研发工作，提供底层智能BMS管理系统、IOT物联网定位和联网终端，以及配套的手机APP和远程大数据监控系统，实现远程运维和远程监控，提供智能锂电池大数据后台管理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71" w:name="_Toc12287"/>
      <w:bookmarkStart w:id="72" w:name="_Toc23372"/>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二十四、医药中间体的绿色化合成技术的研发</w:t>
      </w:r>
      <w:bookmarkEnd w:id="71"/>
      <w:bookmarkEnd w:id="72"/>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作为重要的有机化学品，嘧啶呋喃酮在药物、染料、香料、农药等领域都有着广泛的应用。具体来说，嘧啶呋喃酮可以用于合成各种有机合成物和药物，还可以作为防腐剂、食品添加剂和香料等。在药物方面，嘧啶呋喃酮可以用于合成多种抗癌药、抗感染药和抗病毒药。嘧啶呋喃酮可以用于合成一种名为“第三代孔雀石绿”的抗癌药，这种药物适用于肾癌、子宫颈癌、卵巢癌等多种癌症的治疗。在染料领域，嘧啶呋喃酮可以用于合成各种有机染料，包括抗紫外线染料、金属染料、高分子染料等。嘧啶呋喃酮还可以用于制造激光打印机的碳带，提高打印质量。在食品和香料方面，嘧啶呋喃酮可以用于提高食品的味道和香味。嘧啶呋喃酮可以用于制作香精、香料、饮料和冰淇淋等。嘧啶呋喃酮还可以用作防腐剂和杀虫剂。防腐剂是指为了延长食品、饮料和其他物品的保质期而添加的化学物质，嘧啶呋喃酮具有抑制细菌和真菌的作用，可以提高产品的质量保证。杀虫剂是指用于杀死和防治害虫的化学品，嘧啶呋喃酮可以作为杀马拉松草属中的一些昆虫的杀虫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虽然嘧啶呋喃酮的应用非常广泛，但是其生产过程也存在一些问题。嘧啶呋喃酮的生产需要一定的技术和设备，其中包括反应釜、减压蒸馏器等。嘧啶呋喃酮的环保性也成为了人们关注的问题。在生产嘧啶呋喃酮的过程中，传统工艺是在间歇式釜式反应装置中，以邻羟基苯乙酸为原料，通过酯化、甲酰化和甲基化反应生成羟基苯基丙烯胺酸甲酯，最后与二氯嘧啶反应获得。传统工艺中许多化学品会被废弃或排放到环境中，使用大量溶剂，并且路线步骤多，反应时间长，操作繁琐，一方面造成各批次产品的收率、质量存在较大波动，另一方面也加大了工人的劳动量，同时反应时间长，生产效率低。</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工业生产中常采用传统釜式反应装置，以二羟基嘧啶为原料，用三氯氧磷或光气进行氯化合成4,6-二氯嘧啶，二氯嘧啶作为原料进一步合成嘧啶呋喃酮。该工艺中需要调节体系中pH值，控制加料速度、顺序以及反应温度，操作复杂，且反应过程中容易出现副产物，降低了产品的收率和纯度。</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现阶段嘧啶呋喃酮等医药中间体合成过程中存在的安全性能差、能耗高、三废高、生产效率低等问题开展连续流工艺的联合技术研发，开发新的工艺，选择新型催化剂，实现嘧啶呋喃酮等医药中间体的绿色化合成，提高产品的收率，降低能耗和生产成本。</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73" w:name="_Toc23355"/>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三、需求参数目标：</w:t>
      </w:r>
      <w:bookmarkEnd w:id="73"/>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1、设计开发嘧啶呋喃酮超重力微反应连续流绿色合成工艺技术。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2、能耗降低15%，嘧啶呋喃酮综合收率提高到88%以上（以苯并呋喃酮为原料计算）。</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74" w:name="_Toc5714"/>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二十五、产生的粗油脂产品纯度较低</w:t>
      </w:r>
      <w:bookmarkEnd w:id="74"/>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病死畜禽无害化处理项目主要是处理养殖、屠宰企业产生的不可食用的病死畜禽及病害产品进行无害化处理，保障食品安全进行资源回收利用。病死畜禽无害化处理的主要技术为高温干式化制法，需要高温蒸汽作为主要能源进行夹层加热杀灭病菌回收病死畜畜禽物料中的有机产品（处置残渣和粗油脂），每吨收处成本约为1000元。对标现有市面的产品主要是处置残渣和粗油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目前主要的痛点主要是产生的粗油脂产品纯度较低。</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通过技术工艺对产生的粗油脂进行提纯，提升产品附加值。一、需求参数目标：</w:t>
      </w:r>
    </w:p>
    <w:p>
      <w:pPr>
        <w:pStyle w:val="7"/>
        <w:numPr>
          <w:ilvl w:val="0"/>
          <w:numId w:val="1"/>
        </w:numPr>
        <w:ind w:left="631" w:leftChars="0" w:firstLine="0" w:firstLineChars="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75" w:name="_Toc28250"/>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粗油脂纯度达到99%以上。</w:t>
      </w:r>
      <w:bookmarkEnd w:id="75"/>
    </w:p>
    <w:p>
      <w:pPr>
        <w:numPr>
          <w:ilvl w:val="0"/>
          <w:numId w:val="0"/>
        </w:numPr>
        <w:outlineLvl w:val="0"/>
        <w:rPr>
          <w:rFonts w:hint="eastAsia"/>
          <w:lang w:val="en-US" w:eastAsia="zh-CN"/>
        </w:rPr>
      </w:pPr>
      <w:bookmarkStart w:id="76" w:name="_Toc19279"/>
      <w:r>
        <w:rPr>
          <w:rFonts w:hint="eastAsia"/>
          <w:lang w:val="en-US" w:eastAsia="zh-CN"/>
        </w:rPr>
        <w:t>二、考虑的方向：</w:t>
      </w:r>
      <w:bookmarkEnd w:id="76"/>
    </w:p>
    <w:p>
      <w:pPr>
        <w:numPr>
          <w:ilvl w:val="0"/>
          <w:numId w:val="0"/>
        </w:numPr>
        <w:ind w:firstLine="632" w:firstLineChars="200"/>
        <w:rPr>
          <w:rFonts w:hint="eastAsia"/>
          <w:lang w:val="en-US" w:eastAsia="zh-CN"/>
        </w:rPr>
      </w:pPr>
      <w:r>
        <w:rPr>
          <w:rFonts w:hint="eastAsia"/>
          <w:lang w:val="en-US" w:eastAsia="zh-CN"/>
        </w:rPr>
        <w:t>油脂提炼、筛分、离心提纯、固废处理、粗油脂加工。</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77" w:name="_Toc17013"/>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二十六、针对强制循环蒸发工艺造成后端膜浓缩液含泥量、含盐量增大，导致回喷管路堵塞、回喷枪头清理维修频繁的问题，开展膜浓缩液脱泥、脱盐处理研究</w:t>
      </w:r>
      <w:bookmarkEnd w:id="77"/>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强制循环蒸发工艺造成后端膜浓缩液含泥量、含盐量增大，导致回喷管路堵塞、回喷枪头清理维修频繁。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9"/>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针对强制循环蒸发工艺造成后端膜浓缩液含泥量、含盐量增大，导致回喷管路堵塞、回喷枪头清理维修频繁的问题，开展膜浓缩液脱泥、脱盐处理研究。</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78" w:name="_Toc15197"/>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bookmarkEnd w:id="78"/>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降低MVR膜浓缩液含泥量、含盐量，减少堵塞回喷管路、回喷枪头频次，能够实现90%以上的的脱盐、脱泥率。</w:t>
      </w:r>
    </w:p>
    <w:p>
      <w:pPr>
        <w:numPr>
          <w:ilvl w:val="0"/>
          <w:numId w:val="0"/>
        </w:numPr>
        <w:outlineLvl w:val="0"/>
        <w:rPr>
          <w:rFonts w:hint="eastAsia"/>
          <w:lang w:val="en-US" w:eastAsia="zh-CN"/>
        </w:rPr>
      </w:pPr>
      <w:bookmarkStart w:id="79" w:name="_Toc23624"/>
      <w:r>
        <w:rPr>
          <w:rFonts w:hint="eastAsia"/>
          <w:lang w:val="en-US" w:eastAsia="zh-CN"/>
        </w:rPr>
        <w:t>二、考虑的方向：</w:t>
      </w:r>
      <w:bookmarkEnd w:id="79"/>
    </w:p>
    <w:p>
      <w:pPr>
        <w:rPr>
          <w:rFonts w:hint="eastAsia"/>
          <w:lang w:val="en-US" w:eastAsia="zh-CN"/>
        </w:rPr>
      </w:pPr>
      <w:r>
        <w:rPr>
          <w:rFonts w:hint="eastAsia"/>
          <w:lang w:val="en-US" w:eastAsia="zh-CN"/>
        </w:rPr>
        <w:t>技术关键词：强制循环蒸发工艺 膜浓缩液 脱泥脱盐技术；</w:t>
      </w:r>
    </w:p>
    <w:p>
      <w:pPr>
        <w:rPr>
          <w:rFonts w:hint="eastAsia"/>
          <w:lang w:val="en-US" w:eastAsia="zh-CN"/>
        </w:rPr>
      </w:pPr>
      <w:r>
        <w:rPr>
          <w:rFonts w:hint="eastAsia"/>
          <w:lang w:val="en-US" w:eastAsia="zh-CN"/>
        </w:rPr>
        <w:t>技术应用领域：  有机固废生态循环产业园 膜浓缩液处理。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80" w:name="_Toc8848"/>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二十七、食用菌培养基智能电磁蒸汽灭菌柜研发</w:t>
      </w:r>
      <w:bookmarkEnd w:id="80"/>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对标现有市面上的产品/技术</w:t>
      </w:r>
    </w:p>
    <w:p>
      <w:pPr>
        <w:pStyle w:val="7"/>
        <w:numPr>
          <w:ilvl w:val="0"/>
          <w:numId w:val="0"/>
        </w:numPr>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81" w:name="_Toc12493"/>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技术领域方面更优先市面上产品.</w:t>
      </w:r>
      <w:bookmarkEnd w:id="81"/>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在目前产品性能基础上，进一步优化组合。</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针对公司现有产品升级改造，根据市场需求研发更高端的产品服务于社会。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82" w:name="_Toc3657"/>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bookmarkEnd w:id="82"/>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机械化→自动化→智能化→数字化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bookmarkStart w:id="83" w:name="_Toc6890"/>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二十八、</w:t>
      </w:r>
      <w:bookmarkEnd w:id="83"/>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食品研发方面有强烈需求，计划针对牛蒡进行深加工，但是没有任何方向和定位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对标现有市面上的产品/技术</w:t>
      </w:r>
    </w:p>
    <w:p>
      <w:pPr>
        <w:pStyle w:val="7"/>
        <w:numPr>
          <w:ilvl w:val="0"/>
          <w:numId w:val="0"/>
        </w:numPr>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食品研发方面有强烈需求，计划针对牛蒡进行深加工，但是没有任何方向和定位。需要我们指导。解决方案：建议利用牛蒡汁做成饮料，果肉做成饼干，下脚料做成茶叶、果皮做饲料。首先，果汁价格相对便宜，作为饮料，捆绑销售做饼干，茶的消费群体比较单一，时间持久，不利于快速占有市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有整体的产业规划，但是作为国企，没有实际的运营能力，需要我们参与运营规划。</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pStyle w:val="7"/>
        <w:jc w:val="both"/>
        <w:outlineLvl w:val="9"/>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bookmarkStart w:id="84" w:name="_Toc3256"/>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研发平台、研发中心的成立需要后期慢慢渗透和协商。暂时没有规划，但是必须要有。</w:t>
      </w:r>
      <w:bookmarkEnd w:id="84"/>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二十九、智慧医疗管理平台研发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对标现有市面上的产品/技术</w:t>
      </w:r>
    </w:p>
    <w:p>
      <w:pPr>
        <w:pStyle w:val="7"/>
        <w:numPr>
          <w:ilvl w:val="0"/>
          <w:numId w:val="0"/>
        </w:numPr>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市面上已经有部分厂商实现了SAAS部署及多端支持。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目前产品为C/S架构，需要进行产品升级为支持SAAS部署版本。</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针对医院信息管理系统版本升级问题，开展SAAS版本研究开发，提供支持跨平台多端使用的医院信息管理平台。</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numPr>
          <w:ilvl w:val="0"/>
          <w:numId w:val="0"/>
        </w:numPr>
        <w:ind w:firstLine="632" w:firstLineChars="200"/>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1.VUE3 + TS 前端技术。</w:t>
      </w:r>
    </w:p>
    <w:p>
      <w:pPr>
        <w:numPr>
          <w:ilvl w:val="0"/>
          <w:numId w:val="0"/>
        </w:numPr>
        <w:ind w:firstLine="632" w:firstLineChars="200"/>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2.JAVA + Spring Boot 支持微服务平台。</w:t>
      </w:r>
    </w:p>
    <w:p>
      <w:pPr>
        <w:numPr>
          <w:ilvl w:val="0"/>
          <w:numId w:val="0"/>
        </w:numPr>
        <w:outlineLvl w:val="0"/>
        <w:rPr>
          <w:rFonts w:hint="eastAsia"/>
          <w:lang w:val="en-US" w:eastAsia="zh-CN"/>
        </w:rPr>
      </w:pPr>
      <w:r>
        <w:rPr>
          <w:rFonts w:hint="eastAsia"/>
          <w:lang w:val="en-US" w:eastAsia="zh-CN"/>
        </w:rPr>
        <w:t>二、考虑的方向：</w:t>
      </w:r>
    </w:p>
    <w:p>
      <w:pPr>
        <w:ind w:firstLine="632" w:firstLineChars="200"/>
        <w:rPr>
          <w:rFonts w:hint="eastAsia"/>
          <w:lang w:val="en-US" w:eastAsia="zh-CN"/>
        </w:rPr>
      </w:pPr>
      <w:r>
        <w:rPr>
          <w:rFonts w:hint="eastAsia"/>
          <w:lang w:val="en-US" w:eastAsia="zh-CN"/>
        </w:rPr>
        <w:t>JAVA、VUE、SAAS。</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三十、（1）智链感知云平台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pStyle w:val="7"/>
        <w:numPr>
          <w:ilvl w:val="0"/>
          <w:numId w:val="0"/>
        </w:numPr>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（1）数据源真实可靠</w:t>
      </w:r>
    </w:p>
    <w:p>
      <w:pPr>
        <w:pStyle w:val="7"/>
        <w:numPr>
          <w:ilvl w:val="0"/>
          <w:numId w:val="0"/>
        </w:numPr>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（2）平台数据权限可控</w:t>
      </w:r>
    </w:p>
    <w:p>
      <w:pPr>
        <w:pStyle w:val="7"/>
        <w:numPr>
          <w:ilvl w:val="0"/>
          <w:numId w:val="0"/>
        </w:numPr>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（3）与税务监管平台对接</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（1）税管部门无法对零售业数据进行有效监管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（2）商务部门无法对区域零售数据有效掌握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因现实场景中，有可能内容较长的小票需要打印，一些国产物联网芯片模组，在小范围数据内容打印实时上传到云端，还可以承受，在较大内容的情况，涉及到打印数据包分包、拆包，通过物联网芯片将数据完整上传至服务器（解析不丢包）需要相关的技术优化。</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numPr>
          <w:ilvl w:val="0"/>
          <w:numId w:val="0"/>
        </w:numPr>
        <w:ind w:firstLine="632" w:firstLineChars="200"/>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1.具备4G网络传输、掉线自动重联、传输数据加密、离线设备缓存采集数据上线后自动同步到服务器功能。</w:t>
      </w:r>
    </w:p>
    <w:p>
      <w:pPr>
        <w:numPr>
          <w:ilvl w:val="0"/>
          <w:numId w:val="0"/>
        </w:numPr>
        <w:ind w:firstLine="632" w:firstLineChars="200"/>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2.可以通过USB接入收银或其它票据软件所在电脑进行打印，所打印的数据同步对外传输到指定服务器。</w:t>
      </w:r>
    </w:p>
    <w:p>
      <w:pPr>
        <w:numPr>
          <w:ilvl w:val="0"/>
          <w:numId w:val="0"/>
        </w:numPr>
        <w:outlineLvl w:val="0"/>
        <w:rPr>
          <w:rFonts w:hint="eastAsia"/>
          <w:lang w:val="en-US" w:eastAsia="zh-CN"/>
        </w:rPr>
      </w:pPr>
      <w:r>
        <w:rPr>
          <w:rFonts w:hint="eastAsia"/>
          <w:lang w:val="en-US" w:eastAsia="zh-CN"/>
        </w:rPr>
        <w:t>二、考虑的方向：</w:t>
      </w:r>
    </w:p>
    <w:p>
      <w:pPr>
        <w:ind w:firstLine="632" w:firstLineChars="200"/>
        <w:rPr>
          <w:rFonts w:hint="eastAsia"/>
          <w:lang w:val="en-US" w:eastAsia="zh-CN"/>
        </w:rPr>
      </w:pPr>
      <w:r>
        <w:rPr>
          <w:rFonts w:hint="eastAsia"/>
          <w:lang w:val="en-US" w:eastAsia="zh-CN"/>
        </w:rPr>
        <w:t>1.物联网2.电子信息技术3.软件服务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（2）税控数据采集技术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在国内，目前从事该项业务的厂商有十多家，但是产品代理商居多，拥有自己产品且产品相对成熟的厂家就三家，我公司即为其中之一。在设备材质、数据采集、数据安全、兼容性等方面都优于市场上的其他产品，具备很强的竞争力。</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（1）投入成本高：开票需要投入的硬件及网络连接费用成本高；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（2）操作复杂：纳税人需要具备相关电脑知识以及一定的设备使用能力，在开票员上岗前进行开票培训；</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（3）企业财务制度不健全监控难度大。</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当下市场加油机均安装了国家税务局指定标准的税控芯片，目前两类芯片协议标准不一致，且不能实现远程抄表，读卡，我们通过研发，解决了一套采集设备兼容所有加油机税控口数据采集并同时上报到云端的能力。</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numPr>
          <w:ilvl w:val="0"/>
          <w:numId w:val="0"/>
        </w:numPr>
        <w:ind w:firstLine="632" w:firstLineChars="200"/>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32位工业级通信处理器，内置嵌入式操作系统，</w:t>
      </w:r>
    </w:p>
    <w:p>
      <w:pPr>
        <w:numPr>
          <w:ilvl w:val="0"/>
          <w:numId w:val="0"/>
        </w:numPr>
        <w:ind w:leftChars="200"/>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支持2G/3G/4G/5G网络</w:t>
      </w:r>
    </w:p>
    <w:p>
      <w:pPr>
        <w:numPr>
          <w:ilvl w:val="0"/>
          <w:numId w:val="0"/>
        </w:numPr>
        <w:outlineLvl w:val="0"/>
        <w:rPr>
          <w:rFonts w:hint="eastAsia"/>
          <w:lang w:val="en-US" w:eastAsia="zh-CN"/>
        </w:rPr>
      </w:pPr>
      <w:r>
        <w:rPr>
          <w:rFonts w:hint="eastAsia"/>
          <w:lang w:val="en-US" w:eastAsia="zh-CN"/>
        </w:rPr>
        <w:t>二、考虑的方向：</w:t>
      </w:r>
    </w:p>
    <w:p>
      <w:pPr>
        <w:ind w:firstLine="632" w:firstLineChars="200"/>
        <w:rPr>
          <w:rFonts w:hint="eastAsia"/>
          <w:lang w:val="en-US" w:eastAsia="zh-CN"/>
        </w:rPr>
      </w:pPr>
      <w:r>
        <w:rPr>
          <w:rFonts w:hint="eastAsia"/>
          <w:lang w:val="en-US" w:eastAsia="zh-CN"/>
        </w:rPr>
        <w:t>1.物联网2.电子信息技术3.软件服务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三十一、果树种植技术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需要科学的果树种植技术在树苗施肥、培育、修剪等方面起到增产提质的作用。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三十二、微生物发酵工艺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pStyle w:val="7"/>
        <w:ind w:firstLine="632" w:firstLineChars="200"/>
        <w:jc w:val="both"/>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该工艺需要提高生物发酵油脂产量。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三十三、自动化生产技术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pStyle w:val="7"/>
        <w:ind w:firstLine="632" w:firstLineChars="200"/>
        <w:jc w:val="both"/>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实现冻干车间环境监控（微生物）排查，油脂中矿物油污染排查、生产工段中塑化剂排查自动化。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三十四、麦角甾醇含量的提升技术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麦角甾醇是维生素D的前体，双孢菇中含有丰富的麦角甾醇，提高麦角甾醇在双孢菇中的含量，能够提高维生素D的产量。现需求麦角甾醇含量的提升技术。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三十五、大番茄种子活力检测种植技术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pStyle w:val="7"/>
        <w:ind w:firstLine="632" w:firstLineChars="200"/>
        <w:jc w:val="both"/>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需要一种能够进行种子活力等级判别，检测农作物种子的破损率、成活率的高光谱成像的种子活力检测技术。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三十六、数字骨料制品的可追溯体系在铸管中的研发与应用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离心球墨铸铁管凭其优异的性能，完美的柔性接口，密封效果好，防腐性能优异，强度高，韧性强，屈服强度甚至超过铸钢等集众多优点集一身，使其广泛应用于市政、工矿企业给水、输气、输油等，是供水管材的首选，具有很高的性价比，广泛的应用于多种领域，拥有着广阔的发展前景。而球墨铸铁管主要运用在输水量较大的工程，其铸造完成后，须在铸铁管内部进行离心涂衬，即在铸管内壁上通过离心涂衬水泥砂浆以形成衬层，才能完成整个铸管工艺。球墨铸铁管内衬水泥砂浆，可以起到对球铁材质的保护作用，抑制微生物生长，保持水质清洁，减少管道运行时的水的阻力，是一种性价比高的内衬材料。</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球墨铸铁管离心涂衬水泥砂浆衬层在整个产品生命周期中常出现内衬裂纹的缺陷，大大缩短了铸管的生命周期，造成产品外观质量和局部强度较差。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如何提高球墨铸铁管涂衬质量，减少裂纹缺陷，是我们目前急。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numPr>
          <w:ilvl w:val="0"/>
          <w:numId w:val="0"/>
        </w:numPr>
        <w:ind w:firstLine="632" w:firstLineChars="200"/>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中大管减少 2%缺陷率</w:t>
      </w:r>
    </w:p>
    <w:p>
      <w:pPr>
        <w:numPr>
          <w:ilvl w:val="0"/>
          <w:numId w:val="0"/>
        </w:numPr>
        <w:outlineLvl w:val="0"/>
        <w:rPr>
          <w:rFonts w:hint="eastAsia"/>
          <w:lang w:val="en-US" w:eastAsia="zh-CN"/>
        </w:rPr>
      </w:pPr>
      <w:r>
        <w:rPr>
          <w:rFonts w:hint="eastAsia"/>
          <w:lang w:val="en-US" w:eastAsia="zh-CN"/>
        </w:rPr>
        <w:t>二、考虑的方向：</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（1）在保证水质的前提下，增加添加剂。</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（2）砂子粒度大小。</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（3）水泥强度和细度范围。</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（4）提高砂灰比，减少内衬水泥乳浆层。</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（5）提高水泥砂浆混合搅拌时间，使其充分混合均匀。</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三十七、纳米陶瓷涂层在铸管中的研发与应用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离心球墨铸铁管凭其优异的性能，完美的柔性接口，密封效果好，防腐性能优异，强度高，韧性强，屈服强度甚至超过铸钢等集众多优点集一身，使其广泛应用于市政、工矿企业给水、输气、输油等，是供水管材的首选，具有很高的性价比，广泛的应用于多种领域，拥有着广阔的发展前景。而球墨铸铁管主要运用在输水量较大的工程，其铸造完成后，须在铸铁管内部进行离心涂衬，即在铸管内壁上通过离心涂衬水泥砂浆以形成衬层，才能完成整个铸管工艺。球墨铸铁管内衬水泥砂浆，可以起到对球铁材质的保护作用，抑制微生物生长，保持水质清洁，减少管道运行时的水的阻力，是一种性价比高的内衬材料。</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球墨铸铁管离心涂衬水泥砂浆衬层在整个产品生命周期中常出现内衬裂纹的缺陷，大大缩短了铸管的生命周期，造成产品外观质量和局部强度较差。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如何提高球墨铸铁管涂衬质量，减少裂纹缺陷，是我们目前急。</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numPr>
          <w:ilvl w:val="0"/>
          <w:numId w:val="0"/>
        </w:numPr>
        <w:ind w:firstLine="632" w:firstLineChars="200"/>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中大管减少 2%缺陷率</w:t>
      </w:r>
    </w:p>
    <w:p>
      <w:pPr>
        <w:numPr>
          <w:ilvl w:val="0"/>
          <w:numId w:val="0"/>
        </w:numPr>
        <w:outlineLvl w:val="0"/>
        <w:rPr>
          <w:rFonts w:hint="eastAsia"/>
          <w:lang w:val="en-US" w:eastAsia="zh-CN"/>
        </w:rPr>
      </w:pPr>
      <w:r>
        <w:rPr>
          <w:rFonts w:hint="eastAsia"/>
          <w:lang w:val="en-US" w:eastAsia="zh-CN"/>
        </w:rPr>
        <w:t>二、考虑的方向：</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（1）在保证水质的前提下，增加添加剂。</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（2）砂子粒度大小。</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（3）水泥强度和细度范围。</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（4）提高砂灰比，减少内衬水泥乳浆层。</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（5）提高水泥砂浆混合搅拌时间，使其充分混合均匀。</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三十八、石英石深加工及高端应用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采用高强高透光伏玻璃料方，高透热玻璃液多级熔窑结构，高压超薄压延成形工艺以及低变形传输、立体网状温度控制退火等行业先进技术。将互联网、物联网等新一代信息技术与光伏玻璃制造工业深度融合，突破传统生产模式，创建光伏玻璃智能化工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行业内厚度3.2mm原片玻璃透光率91.5%-92%之间，通过原料配方的研发调整、工艺优化使原片透光率提高2%，突破行业瓶颈。</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提升原片玻璃的透光率。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1.光伏玻璃厚度3.2mm透光率达到94%以上。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原料配比、窑炉工艺、压延辊工艺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在行业瓶颈未突破前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三十九、高纯石英砂制备技术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采用高强高透光伏玻璃料方，高透热玻璃液多级熔窑结构，高压超薄压延成形工艺以及低变形传输、立体网状温度控制退火等行业先进技术。将互联网、物联网等新一代信息技术与光伏玻璃制造工业深度融合，突破传统生产模式，创建光伏玻璃智能化工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行业内厚度3.2mm原片玻璃透光率91.5%-92%之间，通过原料配方的研发调整、工艺优化使原片透光率提高2%，突破行业瓶颈。</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提升原片玻璃的透光率。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1.光伏玻璃厚度3.2mm透光率达到94%以上。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原料配比、窑炉工艺、压延辊工艺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在行业瓶颈未突破前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四十、高效生物营养液的环保水处理研发与创新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①微生物菌剂类以传统的水产养殖和农业种植类单一菌剂和通用复合菌剂，如枯草芽孢杆菌，地衣芽孢杆菌，乳酸菌，酵母菌和 EM 菌为主，很少专用于环保领域的市政污水及工业污水专用的高品质微生物菌剂，比如硝化菌，低温硝化菌，反硝化菌，低温反硝化菌，耐盐菌，解毒菌等。②生物营养液类，主要以传统的葡萄糖、乙酸钠、甲醇等单一或者复合的化学品为主。无针对市政污水及工业废水处理中的不同水质的菌群和不同菌群亚健康状态下的维持、促进、应急用的定向含酶类绿色天然生态的复合营养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面对环保水处理领域中的生化处理系统，在冬季北部低温地区，氨氮和总氮处理效率低下问题，以及在中高难度工业水尤其是化工水领域采用传统的生物菌剂已经不能解决实质性问题。②面对环保水处理领域中的生化系统，作为当今水处理领域中的“心脏”部位和工段，对于它所需的通用营养液很难起到定向解决问题的作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环保水处理高效微生物菌剂的研发和创新，需要解决的技术问题主要有两个:第一，自然界秋筛选高效特种微生物菌剂的精准技术。第二，人工诱变新生成高效特种微生物菌剂的精准技术。②环保水处理高效生物营养液的研发与创新，需要解决的是资源化利用的工艺路线上如何把农副产品资源回收或污水处理领域固废生化性有机质污泥的综合利用高效转化成菌/酶/有机营养共存的复合营养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三、需求参数目标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①高效微生物菌剂的单位有效含量；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②高效微生物菌剂的定向作用效率；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③高效微生物菌剂的活性保存周期；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④高效生物营养液的单位有效含量；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⑤高效生物营养液的定向作用效率；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⑥高效生物营养液的活性保存周期。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四、考虑的方向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技术关键词: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①微生物菌种筛选、微生物菌种纯化、微生物菌种驯化、微生物菌种扩培与发酵。</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②生物促进酶技术、生物修复酶李技术、生物定向分解酶技术。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技术应用领域关键词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①低温硝化领域、低温反硝化领域、含盐水 COD 降解领域。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②高效脱氮碳源领域、高效生化氮源领域、高效生化磷源领域。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四十一、从能耗、材料及运行条件上考虑如何提高电机效率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微型电动隔膜泵属于大量生产，每天5万个，用工多，劳动密集型，需要智能化，自动化替代人工。技术改造主要围绕提质增效，节约劳动力成本进行考虑。在装配流水线进行在线自动检测，对其进行电流，水压符合性和渗水等严重质量缺陷的检测等。现有能够实现人工动作，缺乏自动化程序一人多台控制。能实现成本在1万/台的改造具体可以考察交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可以监测两个工位的电流值和回路压力值。若超过限定值则控制相应的报警等闪烁，并发出指示音。2、通过设置按钮进入设置界面，可设置电流就压力值。3、半自动模式下，只需踩下踏板开关即可完成一个工作循环，无需再按手动按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从能耗、材料及运行条件上考虑如何提高电机效率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1、电流量程 0-5 安培，测量精度 0.5%，显示精确到小数点后3 位。2、回路压力量程 0-1MPa,测量精度 0.5%，显示精确到小数点后3 位3、5 英寸触摸屏。4、四路报警指示灯。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四十二、低功耗，大压力流量微型电动隔膜泵的研发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微型电动隔膜泵属于大量生产，每天5万个，用工多，劳动密集型，需要智能化，自动化替代人工。技术改造主要围绕提质增效，节约劳动力成本进行考虑。在装配流水线进行在线自动检测，对其进行电流，水压符合性和渗水等严重质量缺陷的检测等。现有能够实现人工动作，缺乏自动化程序一人多台控制。能实现成本在1万/台的改造具体可以考察交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可以监测两个工位的电流值和回路压力值。若超过限定值则控制相应的报警等闪烁，并发出指示音。2、通过设置按钮进入设置界面，可设置电流就压力值。3、半自动模式下，只需踩下踏板开关即可完成一个工作循环，无需再按手动按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从能耗、材料及运行条件上考虑如何提高电机效率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1、电流量程 0-5 安培，测量精度 0.5%，显示精确到小数点后3 位。2、回路压力量程 0-1MPa,测量精度 0.5%，显示精确到小数点后3 位3、5 英寸触摸屏。4、四路报警指示灯。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四十三、通用型CAR细胞制备技术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和欧美发达国家的技术水平基本持平，但是不掌握核心技术。2.目前痛点分析（针对哪个设想的场景，某痛点）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企业是临沂第一家，山东省第一批专注于细胞应用研究的公司，不同于市面上一般的细胞存储类公司，具有市级区域细胞制备中心，细胞组织库，医学细胞工程重点实验室等重要资质，严格按照国家目前监管模式，以技术进行转化应用，场地，人员等资质齐全，通过十年的努力，我们在原有技术的技术上不断优化升级，同时又不断从外引进新技术，与时俱进，推陈出新。市场从本地，辐射至省内甚至全国，在上海，广州，济南都设有研发中心，营销中心，与临沂市多家公立医院，山东省立医院，安徽省立医院，首都佑安医院均有临床应用研究合作关系，目前公司的未来发展痛点和短板就是想通过自身的研发努力，拥有一批真正属于自己的科研团队，取得真正属于自己的核心技术，但是由于资金和人才的短缺，研发投入成本较高，所以进度并不理想。</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1.人原代肿瘤细胞诱导培养技术---应用于细胞创新药原材料供应。</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2.通用型CAR细胞制备技术---应用于细胞治疗。</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3.外泌体提取纯化技术---应用于化妆品研发。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肿瘤、免疫、生物医药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四十四、外泌体提取纯化技术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和欧美发达国家的技术水平基本持平，但是不掌握核心技术。2.目前痛点分析（针对哪个设想的场景，某痛点）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企业是临沂第一家，山东省第一批专注于细胞应用研究的公司，不同于市面上一般的细胞存储类公司，具有市级区域细胞制备中心，细胞组织库，医学细胞工程重点实验室等重要资质，严格按照国家目前监管模式，以技术进行转化应用，场地，人员等资质齐全，通过十年的努力，我们在原有技术的技术上不断优化升级，同时又不断从外引进新技术，与时俱进，推陈出新。市场从本地，辐射至省内甚至全国，在上海，广州，济南都设有研发中心，营销中心，与临沂市多家公立医院，山东省立医院，安徽省立医院，首都佑安医院均有临床应用研究合作关系，目前公司的未来发展痛点和短板就是想通过自身的研发努力，拥有一批真正属于自己的科研团队，取得真正属于自己的核心技术，但是由于资金和人才的短缺，研发投入成本较高，所以进度并不理想。</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1.人原代肿瘤细胞诱导培养技术---应用于细胞创新药原材料供应。</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2.通用型CAR细胞制备技术---应用于细胞治疗。</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3.外泌体提取纯化技术---应用于化妆品研发。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肿瘤、免疫、生物医药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四十五、外泌体在化妆品领域的产业化研发与应用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和欧美发达国家的技术水平基本持平，但是不掌握核心技术。2.目前痛点分析（针对哪个设想的场景，某痛点）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企业是临沂第一家，山东省第一批专注于细胞应用研究的公司，不同于市面上一般的细胞存储类公司，具有市级区域细胞制备中心，细胞组织库，医学细胞工程重点实验室等重要资质，严格按照国家目前监管模式，以技术进行转化应用，场地，人员等资质齐全，通过十年的努力，我们在原有技术的技术上不断优化升级，同时又不断从外引进新技术，与时俱进，推陈出新。市场从本地，辐射至省内甚至全国，在上海，广州，济南都设有研发中心，营销中心，与临沂市多家公立医院，山东省立医院，安徽省立医院，首都佑安医院均有临床应用研究合作关系，目前公司的未来发展痛点和短板就是想通过自身的研发努力，拥有一批真正属于自己的科研团队，取得真正属于自己的核心技术，但是由于资金和人才的短缺，研发投入成本较高，所以进度并不理想。</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1.人原代肿瘤细胞诱导培养技术---应用于细胞创新药原材料供应。</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2.通用型CAR细胞制备技术---应用于细胞治疗。</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3.外泌体提取纯化技术---应用于化妆品研发。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肿瘤、免疫、生物医药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四十六、抗衰老评估体系的建立</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和欧美发达国家的技术水平基本持平，但是不掌握核心技术。2.目前痛点分析（针对哪个设想的场景，某痛点）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企业是临沂第一家，山东省第一批专注于细胞应用研究的公司，不同于市面上一般的细胞存储类公司，具有市级区域细胞制备中心，细胞组织库，医学细胞工程重点实验室等重要资质，严格按照国家目前监管模式，以技术进行转化应用，场地，人员等资质齐全，通过十年的努力，我们在原有技术的技术上不断优化升级，同时又不断从外引进新技术，与时俱进，推陈出新。市场从本地，辐射至省内甚至全国，在上海，广州，济南都设有研发中心，营销中心，与临沂市多家公立医院，山东省立医院，安徽省立医院，首都佑安医院均有临床应用研究合作关系，目前公司的未来发展痛点和短板就是想通过自身的研发努力，拥有一批真正属于自己的科研团队，取得真正属于自己的核心技术，但是由于资金和人才的短缺，研发投入成本较高，所以进度并不理想。</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1.人原代肿瘤细胞诱导培养技术---应用于细胞创新药原材料供应。</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2.通用型CAR细胞制备技术---应用于细胞治疗。</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3.外泌体提取纯化技术---应用于化妆品研发。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肿瘤、免疫、生物医药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四十七、细胞焦亡在疾病发生发展和转归中的研究与应用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和欧美发达国家的技术水平基本持平，但是不掌握核心技术。2.目前痛点分析（针对哪个设想的场景，某痛点）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企业是临沂第一家，山东省第一批专注于细胞应用研究的公司，不同于市面上一般的细胞存储类公司，具有市级区域细胞制备中心，细胞组织库，医学细胞工程重点实验室等重要资质，严格按照国家目前监管模式，以技术进行转化应用，场地，人员等资质齐全，通过十年的努力，我们在原有技术的技术上不断优化升级，同时又不断从外引进新技术，与时俱进，推陈出新。市场从本地，辐射至省内甚至全国，在上海，广州，济南都设有研发中心，营销中心，与临沂市多家公立医院，山东省立医院，安徽省立医院，首都佑安医院均有临床应用研究合作关系，目前公司的未来发展痛点和短板就是想通过自身的研发努力，拥有一批真正属于自己的科研团队，取得真正属于自己的核心技术，但是由于资金和人才的短缺，研发投入成本较高，所以进度并不理想。</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1.人原代肿瘤细胞诱导培养技术---应用于细胞创新药原材料供应。</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2.通用型CAR细胞制备技术---应用于细胞治疗。</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3.外泌体提取纯化技术---应用于化妆品研发。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4.考虑的方向：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肿瘤、免疫、生物医药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四十八、聚合物分子结构及制备工艺的设计、功能单体及乳化剂等助剂的选择</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1）聚合物分子结构及制备工艺的设计、功能单体及乳化剂等助剂的选择； </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2）乳液胶黏剂浸渍工艺的优化及固化机理和聚合动力学的研究； </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3）无醛浸渍纸饰面人造板冷压热压成型技术研究； </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4）无醛胶乳液、无醛浸渍纸及饰面人造板中试放大优化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1）采用乳液聚合技术选择乳化剂、稳定剂和催化剂的种类和用量以及确定均一稳定聚合体系，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运用优化理论和方法对反应温度、反应时间、搅拌速度、加料速度等因素对复合乳液性能的影响以获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得最优化的配方；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2）通过装饰纸浸渍技术及催化固化成型技术优化乳液胶黏剂浸渍工艺及研究固化机理和聚合动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力学；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3）利用冷压热压成型技术研究及优化无醛浸渍纸饰面人造板制备工艺。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四十九、乳液胶黏剂浸渍工艺的优化及固化机理和聚合动力学的研究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1）聚合物分子结构及制备工艺的设计、功能单体及乳化剂等助剂的选择； </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2）乳液胶黏剂浸渍工艺的优化及固化机理和聚合动力学的研究； </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3）无醛浸渍纸饰面人造板冷压热压成型技术研究； </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4）无醛胶乳液、无醛浸渍纸及饰面人造板中试放大优化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1）采用乳液聚合技术选择乳化剂、稳定剂和催化剂的种类和用量以及确定均一稳定聚合体系，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运用优化理论和方法对反应温度、反应时间、搅拌速度、加料速度等因素对复合乳液性能的影响以获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得最优化的配方；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2）通过装饰纸浸渍技术及催化固化成型技术优化乳液胶黏剂浸渍工艺及研究固化机理和聚合动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力学；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3）利用冷压热压成型技术研究及优化无醛浸渍纸饰面人造板制备工艺。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五十、无醛浸渍纸饰面人造板冷压热压成型技术研究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1）聚合物分子结构及制备工艺的设计、功能单体及乳化剂等助剂的选择； </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2）乳液胶黏剂浸渍工艺的优化及固化机理和聚合动力学的研究； </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3）无醛浸渍纸饰面人造板冷压热压成型技术研究； </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4）无醛胶乳液、无醛浸渍纸及饰面人造板中试放大优化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1）采用乳液聚合技术选择乳化剂、稳定剂和催化剂的种类和用量以及确定均一稳定聚合体系，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运用优化理论和方法对反应温度、反应时间、搅拌速度、加料速度等因素对复合乳液性能的影响以获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得最优化的配方；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2）通过装饰纸浸渍技术及催化固化成型技术优化乳液胶黏剂浸渍工艺及研究固化机理和聚合动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力学； </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利用冷压热压成型技术研究及优化无醛浸渍纸饰面人造板制备工艺。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五十一、吹塑过程中头尾料问题的研究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技术需求：1.解决头尾料问题2.塑料再生3.挤出系统优化，换色问题，尽快挤出新颜色。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1.解决头尾料问题2.塑料再生3.挤出系统优化，换色问题，尽快挤出新颜色。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五十二、塑料再生技术的研究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技术需求：1.解决头尾料问题2.塑料再生3.挤出系统优化，换色问题，尽快挤出新颜色。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1.解决头尾料问题2.塑料再生3.挤出系统优化，换色问题，尽快挤出新颜色。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五十三、吹塑过程换色导致原材料浪费问题的研究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技术需求：1.解决头尾料问题2.塑料再生3.挤出系统优化，换色问题，尽快挤出新颜色。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1.解决头尾料问题2.塑料再生3.挤出系统优化，换色问题，尽快挤出新颜色。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五十四、挤出系统优化，换色问题，尽快挤出新颜色。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left="632" w:leftChars="200" w:firstLine="0"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技术需求：1.解决头尾料问题2.塑料再生3.挤出系统优化，换色问题，尽快挤出新颜色。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1.解决头尾料问题2.塑料再生3.挤出系统优化，换色问题，尽快挤出新颜色。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五十五、解决基于4G/5G智能锂电池新能源信息传输技术，开展分布式微网能源互联互通</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锂电池作为新型绿色能源，在生产生活的各个领域应用非常广泛，锂电池的应用与管理变成了各种设备发展中一种非常关键的技术，智能锂电池的需求也越来越多，后台和云平台需要对这些锂电池设备进行远程管理、追踪和维护，其运维端与客户端对智能锂电池管理系统以及云平台的需求也日益剧增。由于早期传统的电池没有远程监控和维护，无法了解电池的使用状况，安全性能无法保障，增加了消费者的负担，用车体验差。随着国内电池市场的高速增长，推动国内 BMS 厂商加大自主开发力度，目前国内 BMS 厂家已开发出不同应用领域的电池安全管理产品，技术较为成熟，部分产品参数达到了国际先进水平。相较于国外 BMS 厂商，国内企业具备应用灵活、本地化服务的优势，更能满足国内厂商需求，近年来逐步完成产品进口替代。后备电池 BMS 市场也趋于专业化，后备电池下游应用领域极为广泛，不同应用领域用户需求各不相同，更多电池生产企业将有限的资源投向电池领域的技术研发与创新。而专业第三方 BMS厂家凭借技术积累、规模效应、专业服务等多方面优势，在专业化、细分化的市场发展趋势中，逐渐成为后备电池 BMS 行业主要供应商。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行业发展早期锂电池管理仅用硬件保护板实现简单的锂电池组部分参数保护、无法做到智能管理和智能数据交互，无法把系统的数据客户风险提前预判和预警，不仅锂电池使用安全无法达到保证，更无法实现大范围的监控和远程智能管理；这个问题在民用家庭使用二轮、三轮和低速四轮电动不是特别突出，但在城市换电领域问题尤为突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针对通讯问题，解决基于4G/5G智能锂电池新能源信息传输技术，开展分布式微网能源互联互通，构建分布式锂电池能源统一平台，区域一张网远端统一管理和调度，实现远程4G/5G实时监控和实时数据同步，通过4G/5G实现智能微网智能调度，提供多串数锂电池核心管理芯片。</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针对城市换电领域远程大数据平台无法精确定位和监控问题，开展智能锂电池大数据后台管理系统研发工作，提供底层智能BMS管理系统、IOT物联网定位和联网终端，以及配套的手机APP和远程大数据监控系统，实现远程运维和远程监控，提供智能锂电池大数据后台管理系统。</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耐压工艺芯片：100V</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单片晶元支持10至20串锂电池串的管理和保护</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电压平台：12V-120V</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充放电电流：5A至320A</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工作温度：-35℃-70℃</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工作湿度：5%-100%</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电芯电压采集精度 ≤ 5mv；</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电池温度采集精度 ≤ 1℃；</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电流采集精度 ≤ 1%FS；</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单体电池荷电状态（SOC）精度 ≤ 4%；</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对外通讯方式：RS485通讯和CAN通讯四、考虑的方向：</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  BMS、锂电池能源统一平台、分布式微网、芯片、IOT物联网定位、多串数锂电池管理芯片、智能锂电池大数据后台管理系统。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五十六、退役锂电池主动均衡再利用提供精确的SOC估算技术和服务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由于欧美等发达国家的动力电池业务发展较早，因此现阶段的动力电池回收利用基本沿用之前的经验，形成了以电池制造商为主要责任方的回收体系。美国的电池零售商被强制要求回收废旧电池，同时也通过押金的方式使消费者主动回收废旧电池；在日本，废旧电池的回收由生产商负责，但政府会发放一定的补贴，从而提高了厂商回收的积极性。现阶段，梯级利用总体还处于示范性应用阶段，现有项目大多由汽车企业主导、联合电池企业及回收企业实施，少数企业已经率先实现了商业化突破，主要应用在储能领域。4Renergy能源公司就是锂电池梯级利用企业中的一个代表，由日产汽车与住友集团合资成立，研发了功率范围为12-19kW 的一系列家用和商用储能产品；ABB集团与通用汽车合作，把从雪佛兰汽车上退役下来的动力电池进行梯次利用，制造了用以家庭和小型商用的备用电源，以及与清洁能源发电配套的削峰填谷设备；丰田公司使用其凯美瑞车辆中已退役的电池，为黄石国家公园的设施进行能源存储和供电，同时设计了良好的管理系统，使得退役电池的使用年限可延长将近２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在我国新能源汽车行业，由中国电科院、国网北京公司、北京交通大学等多中心联合建立的北京大兴电动出租车充电站梯次利用示范工程，将退役电池用于变压器输出功率的调整以及维持电压水平的稳定；在通信行业，比克公司牵头建立了废弃电动汽车拆解回收项目，将退役电池用于基站、路灯等设备的储备电源，以达到稳定、节能的目的；在储能领域，国网河南公司、南瑞集团等建立了郑州尖山退役电池储能示范工程，将退役电池与风力、太阳能发电站结合，实现了稳定的风光储混合微电网功能；在辅助调频领域，由国网冀北公司、北京交通大学建立的唐山曹妃甸“梯次电池储能示范工程”，实现了可靠的削峰填谷功能，提高了电能质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退役锂电池处于离散状态且单体电池之间存在性能差异，需要对其性能重新评估并判别其适用的梯度范围，在特定的测试条件和测试状态下，制定合理评价锂电池性能的测试工况，在有限的测试时间内完成基于锂电池健康状态的性能评估，并形成一种适用于锂电池梯次利用的评价方法，面向退役锂电池梯次利用重点技术领域的研究需求，突破关键科学技术和共性关键技术。其痛点主要是：（1）退役动力锂离子电池电荷状态在线检测技术研究，包括分数阶锂离子电池高精度数学模型研究、基于粒子群算法的锂电池模型参数辨识方法研究、基于分数阶精确模型的SOC估算算法研究，（2）退役动力锂离子电池主动均衡控制策略研究，包括基于双向反激电路的主动均衡拓扑设计、均衡控制策略研究，（3）退役动力锂离子电池管理系统样机试制及实验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（1）针对电池 SOC的估算，解决电池状态估算的精度问题，开展基于分数阶电池模型的无迹H无穷滤波算法对电池SOC进行估计研究，突破在二阶模型基础上采用描绘机理更为全面的分数阶模型，并采用粒子群算法来精准辨识分数阶模型内部参数，实现 SOC精确估算，为退役电池主动均衡再利用提供精确的SOC估算技术和服务。</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针对退役锂离子电池组的电量均衡问题，解决退役动力锂离子电池由于生产工艺、用户、使用时间等不同的因素导致各电池之间的差异性明显，木桶效应导致电池无法发挥最大储能能力的问题，开展全新的电池主动均衡方式，对所有电芯同时进行充放电均衡，以实现电池包间的均衡，完善保护措施，突破电池在使用过程中的一致性技术障碍，提供退役动力锂电池智能管理系统样机的研发及技术指导和服务。</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电芯电压采集精度 ≤ 5mv；</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电池温度采集精度 ≤ 1℃；</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电流采集精度 ≤ 1%FS；</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单体电池荷电状态（SOC）精度 ≤ 4%；</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对外通讯方式：RS485/CAN/UART；</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均衡功能：主动均衡。</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  荷电状态估计、 SOC、性能测试工况、粒子群算法、主动均衡、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锂电池梯次利用、退役动力锂电池智能管理系统样机。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五十七、退役动力锂电池智能管理系统样机的研发及技术指导和服务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由于欧美等发达国家的动力电池业务发展较早，因此现阶段的动力电池回收利用基本沿用之前的经验，形成了以电池制造商为主要责任方的回收体系。美国的电池零售商被强制要求回收废旧电池，同时也通过押金的方式使消费者主动回收废旧电池；在日本，废旧电池的回收由生产商负责，但政府会发放一定的补贴，从而提高了厂商回收的积极性。现阶段，梯级利用总体还处于示范性应用阶段，现有项目大多由汽车企业主导、联合电池企业及回收企业实施，少数企业已经率先实现了商业化突破，主要应用在储能领域。4Renergy能源公司就是锂电池梯级利用企业中的一个代表，由日产汽车与住友集团合资成立，研发了功率范围为12-19kW 的一系列家用和商用储能产品；ABB集团与通用汽车合作，把从雪佛兰汽车上退役下来的动力电池进行梯次利用，制造了用以家庭和小型商用的备用电源，以及与清洁能源发电配套的削峰填谷设备；丰田公司使用其凯美瑞车辆中已退役的电池，为黄石国家公园的设施进行能源存储和供电，同时设计了良好的管理系统，使得退役电池的使用年限可延长将近２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在我国新能源汽车行业，由中国电科院、国网北京公司、北京交通大学等多中心联合建立的北京大兴电动出租车充电站梯次利用示范工程，将退役电池用于变压器输出功率的调整以及维持电压水平的稳定；在通信行业，比克公司牵头建立了废弃电动汽车拆解回收项目，将退役电池用于基站、路灯等设备的储备电源，以达到稳定、节能的目的；在储能领域，国网河南公司、南瑞集团等建立了郑州尖山退役电池储能示范工程，将退役电池与风力、太阳能发电站结合，实现了稳定的风光储混合微电网功能；在辅助调频领域，由国网冀北公司、北京交通大学建立的唐山曹妃甸“梯次电池储能示范工程”，实现了可靠的削峰填谷功能，提高了电能质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退役锂电池处于离散状态且单体电池之间存在性能差异，需要对其性能重新评估并判别其适用的梯度范围，在特定的测试条件和测试状态下，制定合理评价锂电池性能的测试工况，在有限的测试时间内完成基于锂电池健康状态的性能评估，并形成一种适用于锂电池梯次利用的评价方法，面向退役锂电池梯次利用重点技术领域的研究需求，突破关键科学技术和共性关键技术。其痛点主要是：（1）退役动力锂离子电池电荷状态在线检测技术研究，包括分数阶锂离子电池高精度数学模型研究、基于粒子群算法的锂电池模型参数辨识方法研究、基于分数阶精确模型的SOC估算算法研究，（2）退役动力锂离子电池主动均衡控制策略研究，包括基于双向反激电路的主动均衡拓扑设计、均衡控制策略研究，（3）退役动力锂离子电池管理系统样机试制及实验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（1）针对电池 SOC的估算，解决电池状态估算的精度问题，开展基于分数阶电池模型的无迹H无穷滤波算法对电池SOC进行估计研究，突破在二阶模型基础上采用描绘机理更为全面的分数阶模型，并采用粒子群算法来精准辨识分数阶模型内部参数，实现 SOC精确估算，为退役电池主动均衡再利用提供精确的SOC估算技术和服务。</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针对退役锂离子电池组的电量均衡问题，解决退役动力锂离子电池由于生产工艺、用户、使用时间等不同的因素导致各电池之间的差异性明显，木桶效应导致电池无法发挥最大储能能力的问题，开展全新的电池主动均衡方式，对所有电芯同时进行充放电均衡，以实现电池包间的均衡，完善保护措施，突破电池在使用过程中的一致性技术障碍，提供退役动力锂电池智能管理系统样机的研发及技术指导和服务。</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电芯电压采集精度 ≤ 5mv；</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电池温度采集精度 ≤ 1℃；</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电流采集精度 ≤ 1%FS；</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单体电池荷电状态（SOC）精度 ≤ 4%；</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对外通讯方式：RS485/CAN/UART；</w:t>
      </w:r>
    </w:p>
    <w:p>
      <w:pPr>
        <w:numPr>
          <w:ilvl w:val="0"/>
          <w:numId w:val="0"/>
        </w:num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均衡功能：主动均衡。</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  荷电状态估计、 SOC、性能测试工况、粒子群算法、主动均衡、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锂电池梯次利用、退役动力锂电池智能管理系统样机。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五十八、适老化家具产品的设计及开发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随着国家老龄化越来越严重，适老家具的产品将是未来一个新的增长点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适老化家具项目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适老化家具产品的设计及开发</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  适老化家具</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五十九、基于 WebGIS 设计的输电线路勘测工程管理云平台的开发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现阶段，国内较为主流的输电线路平断面图绘制软件主要包括北京道亨架空送电线路平断面图处理及定位 CAD 系统（SL-CAD）、TL 架空输电线路平断面处理及定位系统（TL-CAD）及输电线路平断面图自动绘制程序设计（山西院版）3 种软件。但海外还是以 PLS-CADD 软件系统（Power Line Systems-Computer Aided Design and Drafting系统为主，其是美国 POWLINE 公司在 AutoCAD 绘图软件上开发并推出的一款高压输电线路勘测设计软件。我国相关电力设计、勘测企业开展国际工程起步晚，各项规范、操作程序在国际行业中影响范围小，而海外单位受欧美等发达国家影响，对欧美规范及标准乃至软件认可度较高。目前，我国的 PLS-CADD 软件系统的用户还很少，只有一些大型涉外工程的电力勘测设计单位与国际标准接轨时才使用，因此，国内输电线路软件系统如何与海外 PLS-CADD 软件数据转化成为国内很多设计、勘测单位的难点之一。本项目通过深入研究 WebGIS 的特点，结合实际需求进行勘测项目管理平台可行性分析，并基于平台开发原则，进行平台构架设计与模块开发，搭建一套适用于输电线路勘测项目管理的可视化平台，为电力行业勘测项目管理系统开发提供有益探索。</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目前，输电线路工程勘测设计部门 80% 以上的数据为地理信息或为具备地理坐标的其他信息。然而，这些信息仅通过文档或者纸质资料形式存在，单个项目多个数据之间存在的几何或物理联系难以表述清楚。由大数定律可知，在随机事件的大量重复出现中，往往呈现几乎必然的规律。对于勘测工程公司，这些处于相同区域的不同工程的勘测数据理论上存在的某种关联只能通过专业负责人浏览其他工程项目报告才能发掘，不够直观、全面。随着近几年电网的快速发展，为节省土地资源，多条同塔多回路输电线路并行公用一个电力廊道已是一个普遍现象，以往通过 Google earth 地图和现场实测部分塔位来确定线路走向，需要占用大量时间、人力、物理而且效率低下。因此，输电线路工程勘测数据的开放共享、可视化管理成为现实需求，输电线路勘测项目云管理平台的开发与应用具有十分广阔的市场前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针对输电线路工程勘测数据的开放共享、可视化管理需求。本项目基于 WebGIS 设计并开发一套输电线路勘测工程管理云平台，利用计算机技术建立空间地理信息库，实现输电线路空间数据与属性数据的可视化关联、数字化统计，便于用户通过浏览器实现输电线路项目资料的在线查询与多方共享，最大程度满足输电线路项目生产与成果管理需要。</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（1）提供便捷有效、稳定可靠的地图操作。支持高清卫星影像(天地图、Bing 地图等 )与交通路网地图(百度地图、高德地图等)作为底图，用户可以基于高清底图进行相关操作，包括地图缩放、坐标定位和线路量算等。</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（2）提供输电线路项目管理功能。支持输电线路项目的新建、删除项目、编辑、查询、批量导入、打开文档、项目定位和关联设备等功能，并支持基于底图的可视化显示。</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（3）提供地图数据与属性数据的“一张图” 管理。通过属性资料可在地图上定位该项目，显示该项目的基本信息及关联的矢量数据。同时，通过该项目标注，可以进入项目文档管理，在线浏览或授权下载相关文档。</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提供用户权限管理功能。为保证输电线路勘测成果的一致性与安全性，“权限管理”模块内置系统的安全规则和安全策略，用户只能通过赋予的角色访问平台而且只能访问被授权的资源，对于未授权的资源则无法访问。</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（1）网页端 GIS 界面；</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（2）支持卫星影像的加载与显示；</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（3）支持常用矢量数据的读取与编辑；</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（4）通过 WMS(web map service)、WFS(web feature service)访问支持开放标准的地理空间信息资源 ；</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（5）具备输电线路一般空间分析功能。</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二、考虑的方向：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  技术关键词： WebGIS 设计、可视化、数字化</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技术应用领域关键词：国家电网、输电线路勘测、物联网软件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六十、输电线路勘测项目云管理平台的开发与应用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现阶段，国内较为主流的输电线路平断面图绘制软件主要包括北京道亨架空送电线路平断面图处理及定位 CAD 系统（SL-CAD）、TL 架空输电线路平断面处理及定位系统（TL-CAD）及输电线路平断面图自动绘制程序设计（山西院版）3 种软件。但海外还是以 PLS-CADD 软件系统（Power Line Systems-Computer Aided Design and Drafting系统为主，其是美国 POWLINE 公司在 AutoCAD 绘图软件上开发并推出的一款高压输电线路勘测设计软件。我国相关电力设计、勘测企业开展国际工程起步晚，各项规范、操作程序在国际行业中影响范围小，而海外单位受欧美等发达国家影响，对欧美规范及标准乃至软件认可度较高。目前，我国的 PLS-CADD 软件系统的用户还很少，只有一些大型涉外工程的电力勘测设计单位与国际标准接轨时才使用，因此，国内输电线路软件系统如何与海外 PLS-CADD 软件数据转化成为国内很多设计、勘测单位的难点之一。本项目通过深入研究 WebGIS 的特点，结合实际需求进行勘测项目管理平台可行性分析，并基于平台开发原则，进行平台构架设计与模块开发，搭建一套适用于输电线路勘测项目管理的可视化平台，为电力行业勘测项目管理系统开发提供有益探索。</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本项目基于 WebGIS 设计并开发一套输电线路勘测工程管理云平台，利用计算机技术建立空间地理信息库，实现输电线路空间数据与属性数据的可视化关联、数字化统计，便于用户通过浏览器实现输电线路项目资料的在线查询与多方共享，最大程度满足输电线路项目生产与成果管理需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针对输电线路工程勘测数据的开放共享、可视化管理需求。本项目基于 WebGIS 设计并开发一套输电线路勘测工程管理云平台，利用计算机技术建立空间地理信息库，实现输电线路空间数据与属性数据的可视化关联、数字化统计，便于用户通过浏览器实现输电线路项目资料的在线查询与多方共享，最大程度满足输电线路项目生产与成果管理需要。</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（1）提供便捷有效、稳定可靠的地图操作。支持高清卫星影像(天地图、Bing 地图等 )与交通路网地图(百度地图、高德地图等)作为底图，用户可以基于高清底图进行相关操作，包括地图缩放、坐标定位和线路量算等。</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（2）提供输电线路项目管理功能。支持输电线路项目的新建、删除项目、编辑、查询、批量导入、打开文档、项目定位和关联设备等功能，并支持基于底图的可视化显示。</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（3）提供地图数据与属性数据的“一张图” 管理。通过属性资料可在地图上定位该项目，显示该项目的基本信息及关联的矢量数据。同时，通过该项目标注，可以进入项目文档管理，在线浏览或授权下载相关文档。</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提供用户权限管理功能。为保证输电线路勘测成果的一致性与安全性，“权限管理”模块内置系统的安全规则和安全策略，用户只能通过赋予的角色访问平台而且只能访问被授权的资源，对于未授权的资源则无法访问。</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一、需求参数目标：</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（1）网页端 GIS 界面；</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（2）支持卫星影像的加载与显示；</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（3）支持常用矢量数据的读取与编辑；</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（4）通过 WMS(web map service)、WFS(web feature service)访问支持开放标准的地理空间信息资源 ；</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（5）具备输电线路一般空间分析功能。</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二、考虑的方向：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  技术关键词： WebGIS 设计、可视化、数字化</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技术应用领域关键词：国家电网、输电线路勘测、物联网软件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六十一、去酸洗或者环保替代工艺的研究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据了解，国内多家同行业已经开始使用去酸洗工艺，我司现有酸洗工艺存在废酸处理困难环保达标要求高，前处理设备受酸雾侵蚀容易过早报废等缺陷。</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目前我司车架、车厢所使用的钢材在加工、储运过程难免出现锈蚀，去酸洗后，工件表面光滑平整度差，电泳底漆附着力差，外观面漆附着力差，严重制约产品外观质量。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针对去酸洗这个问题，开展去酸洗或者环保替代工艺研究，提供既能够环保达标，又能减少对设备锈蚀，还能达到产品外观涂装达标的新工</w:t>
      </w:r>
      <w:r>
        <w:rPr>
          <w:rFonts w:hint="eastAsia"/>
          <w:lang w:val="en-US" w:eastAsia="zh-CN"/>
        </w:rPr>
        <w:t>艺新技术服务。</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一、需求参数目标：</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1.去酸洗工艺改良后废水排放达到《中华人民共和国污水综合排放标准》要求</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2.去酸洗工艺改良后前处理设备使用年限能够按照正常（无酸雾侵蚀）设计使用寿命</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3.去酸洗工艺改良后产品漆前处理指标达到本企业标准和涂装检验要求</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 xml:space="preserve">  1.技术关键词：去酸洗；无酸除锈；免酸洗；替代酸洗</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2.技术应用领域：前处理；涂装漆前处理；电泳漆前处理；酸洗磷化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六十二、水性漆的综合指标和工艺优化研究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据了解，国内多家同行业已经开始使用使用水性漆工艺，我司现有水性漆工艺存在施工工艺不稳定、光泽度差、耐候性差等缺陷。</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目前我司车架、车厢所使用的水性漆工艺，对施工环境的温度、湿度条件要求较高，产品售出后容易出现失色、失光、脱漆、变色、返锈等缺陷，严重制约产品外观质量。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针对水性漆这些缺陷，开展漆的综合指标和工艺优化研究，提供既能够环保达标，又能达到油性漆产品外观要求的新工艺新技术服务。</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一、需求参数目标：</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1.改良后VOC排放达到《中华人民共和国大气污染物综合排放标准》要求</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2.改良后施工的工艺性和易操作性不能高于油性漆的施工条件</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3.改良后产品外观指标达到本企业标准和涂装检验要求（硬度、饱满度、鲜艳度、遮盖力、光泽度、附着力、耐候性）</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1.技术关键词：水性漆；光泽度；耐候性；附着力；VOC</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2.技术应用领域：涂装；面漆；正三轮摩托车；喷漆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六十三、VR交互式技术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技术：VR虚拟展厅搭建，成熟，搭建了文旅平台，并被各惠民平台使用；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实现交互式应用时，有些场景和设想的内容存在一定的差距，也存在着体验感的差距；</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针对VR平台搭建的交互式体验感，开展相应的研究，并实现优质的体验效果；</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一、需求参数目标：</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国内目前前端的交互式技术，作为我们参考目标，并在实现相应的标准时，同时突出我们的VR平台的功能性。</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pStyle w:val="7"/>
        <w:jc w:val="both"/>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交互技术、沉浸式体验、增强现实；文旅；教育；展馆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六十四、生态环境实验室管理系统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实验室管理：实验室环境条件、实验室气体、实验室预报预警的平台建设及设备研发。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针对实验室管理问题，开展实验室环境条件、实验室气体、实验室预报预警的平台建设及设备研发，提供平台化智慧化实验室管理。</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一、需求参数目标：</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1、实验室环境条件、实验室气体、实验室预报预警的平台建设</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2、设备研发</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pStyle w:val="7"/>
        <w:jc w:val="both"/>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实验室环境条件、实验室气体、实验室预报预警、实验室管理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六十五、水生态云智慧平台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综合信息管理平台：目前环保部门建立的在线监测系统管理平台功能单一，仅聚合了在线监测设备的数据，不具备为排污企业站点水污染数据综合分析的能力，不能很好地为排污企业以及区域水环境提供全面、客观、科学的数据服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面向数据综合分析需求，开展水生态一体化智慧管理平台研究，建立手工监测、在线监测和移动监测相结合的立体化监测网络。</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一、需求参数目标：</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建设水质监测系统、走航车、无人机、无人船、卫星遥感构建天地一体海陆统筹监测网络。</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技术关键词：物联网、大数据、云计算</w:t>
      </w:r>
    </w:p>
    <w:p>
      <w:pPr>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技术应用领域关键词：水生态、综合管控、智慧环保</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六十六、基于标准化仓储应用的三维可视化仓储管理系统研发及应用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随着互</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联网行业的快速发展，网络购物、网上支付、移动电子商户的数量急剧增加，商品爆仓成为困扰物流企业的一大难题，加强物流仓储管理的智能化、自动化升级已经成为提高现代企业物流转效率的重要手段。一个高效智能的仓储管理平台可以帮助企业提高生产效率，降低运营成本。智慧仓储数据三维可视化平台通过、三维仿真形态的方式展现出仓储中心整条流水线的全场景作业情况，方便管理人员对人批量货物进行集中储存、管理的一个3D 智慧仓储管理系统。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荣庆三维可视化仓储管理系统是本项目综合利用物联网技术、三维可视化试验设计交互系统技术，运用虚拟现实技术进行三维建模和模似立体库位规划管理的立体库位规划管理工具。它的特色在于用户可以在不具备特别的编程和三维设计技术能的情况下，简便快捷地创造三维的动画场景，对库位规划进行管理。基于条码技术、RFID(无线射频自动识别)技术和现代化仓储精益管理思想开发出来的仓库管理系统，仓储实现自动化管理，能有效地对仓储流程和空间进行管理，实现批次、快速出入库和盘点。可以自动地记录物流的流动，RFID、条码技术与信息处理技术的结合帮助我们合理地利用仓库空间，以最快速、最低成本的方式为客户供最好的服务。</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普通仓储，存在着物资储备不够合理等问题，库存控制是企业物资管理核心之一，目前公司在库存控制方面存在两种现象：一种是有的物资早已淘汰,超储积压,占用大量库存资金,也为盘点、清理、对账等工作带来不便。另一种是因为仓库管理的混乱，不能准确掌握库存情况，有的材料库存短缺，增加急用料,使物流成本、采购成本上升。 缺乏退回物资处理机制，普通仓库中对货物进行盘点发现仓库中有很多施工班组退回物资，但没有检验过性能好坏、能否再次使用，全部积压在仓库中，既无法入库，又不能处理，为物资再利用以及盘点、清理工作带来困难。</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物联网技术，入库时，通过在库口的阅读器读取商品上RFID标签的信息，并由盘点人员的手持式阅读器做二次确认，再将商品入库单对照，确认无误后登记入库。通过RFID移动终端下载仓阵盘点数据，包括商品数量、应摆放地点及拟出库时间等数据，并按照一定顺序逐一盘点。针对自动识别技术，通过运用自动识别技术可实现数据采集和传输，通过验收与入库、领用与出库、盘点与报表、跨库调拨、辅助结算等功能，实现与仓储管理系统的有机结合，利用仿真技术，三维立体化显示库位规划，合理安排库位划分，上有效的利用仓库存储空间。针对移动计算技术，在移动计算技术的支持下,实现对整个仓库的信息、网络覆盖,将仓储位置等纳入到统一的信息管理体系与网络系统内,再加上与RFID技术等技术的联合运用,打造全面可视、一体协同的仓储管理体系。</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lang w:val="en-US" w:eastAsia="zh-CN"/>
        </w:rPr>
      </w:pPr>
      <w:r>
        <w:rPr>
          <w:rFonts w:hint="eastAsia"/>
          <w:lang w:val="en-US" w:eastAsia="zh-CN"/>
        </w:rPr>
        <w:t>一、需求参数目标：</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二、</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考虑的方向：</w:t>
      </w:r>
    </w:p>
    <w:p>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仓储物流信息化；三维可视化；仓储管理系统；三维可视化试验设计交互系统技术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六十七、建筑废弃物及道路破碎料再生利用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建筑废弃物及道路破碎料加工、骨料配备。对再生原材料进行加工、筛选；产品配比研发；再生料加工技术推广利用。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六十八、沥青混凝土再生循环利用研发项目</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沥青道路铣刨料再生循环利用项目。通过对沥青道路铣刨料筛选、破碎、分级，作为沥青混凝土原材料进行加工再利用。主要技术指标达到原生料产品质量标准。研发重点：再生料的提取、加工工艺改进；再生料加工油石比控制；沥青混凝土生产再生料与原生料配合比；再生沥青混凝土质量控制标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六十九、基板缺陷修补智能路径规划</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根据公司视觉系统给出的缺陷类型和坐标进行路径规划分析后的数据通过工控机进行路径规划并传输给运动控制系统和腻修填充系统对基板缺陷进行精确修补。</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七十、高性能绿色环保新型木质重组材料研发与产业化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公司下一步将继续围绕木业行业发展技术趋势需求，依托公司现有年产30万立方米的木质重组材料示范生产线，通过原始创新、引进创新和集成创新等多种途径开发木质重组材料新品种和新技术，加强不同技术领域交叉与融合研究，重点攻克绿色可饰面木质重组材料、高性能木质定向重组材料、无醛环保木质重组材料等木质材料绿色低碳制造关键技术，研发可饰面木质多元重组材料、结构用木质定向重组材料、无醛防水刨花板、无醛阻燃胶合板等系列新型材料，研制一批木业产业升级关键技术，突破一批重大装备，研发一批绿色木质重组新材料，促进一批重大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研成果的产出与转化，整体提升木质重组材料产业科研和技术服务水平，开展装配式建筑、户外景观建筑、全屋家居等典型绿色宜居示范工程，打造木材利用技术输出体系，开展从应用基础研究、关键技术攻关、成果转化、产业化应用到全链条的创新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公司期望与木业行业高水平、高层次人才开展合作，整体提升木质重组材料产业科研和技术服务水平，推动我省林产工业实现新旧动能转换，满足国家对人工林木材高效利用的技术需求，保障国家木材安全战略，为推动乡村振兴、实现“碳达峰、碳中和”目标、带动“一带一路”国家木业产业发展提供科技创新支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七十一、绿叶类蔬菜智能无序收获机研究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绿叶类蔬菜智能无序收获机研究</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0"/>
        <w:rPr>
          <w:rFonts w:hint="eastAsia"/>
          <w:lang w:val="en-US" w:eastAsia="zh-CN"/>
        </w:rPr>
      </w:pPr>
      <w:r>
        <w:rPr>
          <w:rFonts w:hint="eastAsia"/>
          <w:lang w:val="en-US" w:eastAsia="zh-CN"/>
        </w:rPr>
        <w:t>一、需求参数目标：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1、损失率≤3%</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2、生产率≥1.5 亩/h</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自主化率≥98%</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七十二、冲压模具的稳定性及不耐用性研究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模具不耐用问题，定位不准确，经常有间隙，生产出来的产品一致性差。没有综合性模具，必须是一个工序换一套模具，钢背产品一般在冲床上是3-5个工序，如果能改进成一套综合模具，即减少了生产时间，也减少了用工人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七十三、无醛阻燃胶合板的研究与开发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采用绿色环保磷氮类阻燃剂与醋酸乙烯-乙烯共聚乳液（EVA）制备阻燃EVA胶粘剂。实验原料选择9,10-二氢-9-氧杂-10-磷杂菲-10-氧化物（DOPO）和马来酸酐（MAH）反应，合成了阻燃剂中间体DOPO-MAH，通过乙烯，醋酸乙烯和阻燃剂中间体DOPO-MAH的三元共聚，制备了反应型阻燃EVA乳液胶黏剂（DM-EVA），并研究DOPO-MAH的接枝量对DM-EVA粘度、胶合性能、涂饰性能和阻燃性能的影响。在无醛阻燃胶黏剂研究与开发过程中，合成的阻燃剂中间体DOPO-MAH，成本价格相对较高，用于人造板生产，产品成本也相应增加，需要探索一种新型阻燃中间体代替中间体DOPO-MAH，满足无醛阻燃型人造板产业化生产需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3.需</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求参数目标：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1.外观：乳白色粘稠状液体</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2.固体含量：50%</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3.PH值：6.5-7.0</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4.粘度：1000 mpa.s -1200mpa.s</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5.游离甲醛含量：低于检出限，接近0</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6.制得的胶合板胶合强度：达到GB/T 9846-2015 二类胶合板指标要求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7. 制得的胶合板甲醛释放量：≤0.03mg/m³</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8. 制得的胶合板燃烧性能：燃烧性能达到GB  8624-2012中B1级。</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七十四、工业级中高温太阳能集热系统长效节能设计与制造</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围绕山东省及临沂市中长期科技发展规划及新旧动能战略，依托山东华临新能源有限公司和山东省科学院新材料研究所研发团队和实验装备的优势，开展基于新一代气凝胶绝热保温材料的中高温太阳能保温贮水箱产品的研究，优化基于气凝胶材料的长效节能中高温太阳能集热系统保温工程设计技术、模拟计算和各动态变量的平衡因素，设计出高效节能、低成本、长效可靠的保温设计方案，确定最佳材料使用量和加工封装工艺。完成中高温太阳能用气凝胶产品的加工，实现现场施工及性能评价，满足储水箱保温对节能设计方案的迫切需求。</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3.需</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求参数目标：</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1）保温性能： 气凝胶材料具有优秀的绝热保温性能，导热系统大大低于现有的聚氨酯和岩棉保温材料，符合国家标准 GB/T 20095-2005，导热系数＜0.025W/(m·K) ， 10 小时贮水箱的温降＜5℃；</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2）使用寿命：气凝胶材料为无机纳米材料，与聚氨酯和岩棉相比，抗老化性能十分优异，材料使用寿命可达 20 年以上；</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 防水性： 气凝胶毡在疏水处理后， 表面水接触角＞120°（疏水耐温性为150℃）；</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4）防火性：作为纯无机材料，气凝胶毡的防火等级可达 A1 级，燃烧试验可做到不燃烧不冒烟；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七十五、新能源电动车智能变速技术的研发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通过对智能变速技术的研究，利用智能控制器对电路进行控制，智能控制爬坡的电流输出，保证电机获得充足的扭矩，根据路况自动检测并调整电流，保证输出小电流，满足行驶扭矩输出，同时节省电量，明显减少充电次数，增加续行里程，为电动汽车的正常使用奠定了坚实基础。本项目产品可以达到国内领先水平，使产品有很高的科技含量，明显提升产品的竞争优势。</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七十六、全场景智能割草机器人的研究与开发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2" w:leftChars="0" w:firstLine="632" w:firstLine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对标现有市面上的产品/技术</w:t>
      </w:r>
    </w:p>
    <w:p>
      <w:pPr>
        <w:pStyle w:val="7"/>
        <w:ind w:firstLine="632" w:firstLineChars="200"/>
        <w:jc w:val="both"/>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该项目符合国家节能环保的产业政策，属于国家、省、市政策明确鼓励、支持的四新技术，具有较强的政策背书。该项目拓展园林装备与服务机器人行业的新增长点、具有较好的社会效益。</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研究设计一种适应复杂地形的割草机器人，利用多传感器系统实现割草机器人的导航和定位，项目的实施可突破园林植保机械领域的国外技术垄断，进一步深入培育草坪及杂草维护清理场景中相关自动化、遥控化装备的推广与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项目先进性：1）设计了双通道独立转向机构及电液四驱行走机构，实现割草机器人在崎岖不平，倾斜高达40 度的极其陡峭的斜坡上连续割草作业。2）机器人具备遥控操作及自动路径规划模式，所有车轮的转向均为360 度，割草高度可在90 至140mm范围内进行调节。实现典型地形环境下的割草机器人自主规划作业与人机协同作业。</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3.需</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求参数目标：</w:t>
      </w:r>
    </w:p>
    <w:p>
      <w:pPr>
        <w:pStyle w:val="7"/>
        <w:ind w:firstLine="632" w:firstLineChars="200"/>
        <w:jc w:val="both"/>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主要技术指标：割草宽度：650毫米;割草效率：2500平方米/小时;行走速度：0-6公里/小时;自动模式定位精度：位置误差在 ±6厘米范围内，角度误差在±3°范围内；全区域覆盖：覆盖率大于92% ，重复率小于15% 。</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七十七、电子信息化技术，设计新能源通机动力三控系统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630" w:left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设计年产400万套新能源通机动力三控系统（锂电池保护板、控制器总成、充电器等)，自动化生产线10条，目前产品已处于小批量投产阶段</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lang w:val="en-US" w:eastAsia="zh-CN"/>
        </w:rPr>
        <w:t>3.需</w:t>
      </w: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求参数目标：</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电池保护板：（10串36V 6AH和10串36V 4AH）</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（1）均衡启动电压 3800±50mV（单体）</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（2）均衡电流 40±10mA</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（3）过充电检测电压 4.20±0.03V（单体）</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（4）过充电检测延迟时间 1000±200ms</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（5）过充电解除电压 4.10±0.05V（单体）</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（6）充电过流保护 3.5±1A</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（7）充电过流保护延迟时间 1000±500ms</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（8）过放电保护电压 2.7±0.05V（单体）</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（9）过放电保护延迟时间 900±300ms</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（10）过放电解除电压 3.10±0.1V（单体）</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（11）放电一级过流保护 38±2A</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（12）放电过流保护延迟时间 1200±300ms</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（13）放电二级过流保护 75±3A</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（14）二级过流保护延迟时间 350±250ms</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（15）短路保护延迟时间 400±200us</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（16）充电过流保护动作 关闭充电MOS</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（17）放电过流保护动作 关闭放电MOS</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（18）单节自耗  0-10mA</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(19) 主回路内阻测试 0-50mΩ</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控制器：（10串36V电池包）</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（1）附件一（350W绿篱机控制器技术参数）</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（2）附件二（900W喷雾喷粉机控制器技术参数）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七十八、提高铝型材表面喷涂金属粉稳定性</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630" w:leftChars="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现在国内铝型材喷涂生产中的金属粉较为不稳定，但是国内现有塑粉厂家对此问题还未能解决，所以本公司需求相关专业人员及单位针对此问题进行立项研究，共同研发稳定可靠的塑粉，解决行业内这一难题。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七十九、基于重组酶聚合酶扩增的植物病害电化学检测及其预警机制研究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ind w:firstLine="632" w:firstLineChars="20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基于生命科学、材料科学、分析化学等学科综合交叉，通过植物病害特异性序列设计一系列靶标相关引物和探针，以重组酶聚合酶反应进行信号放大，构建基于电化学的新型生物传感方法，应用于多种植物病害的高灵敏检测及病害预警，为乡村振兴、智慧农业发展提供新技术、新方法。</w:t>
      </w:r>
    </w:p>
    <w:p>
      <w:p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生物传感是利用生物反应或生物物质间的亲和作用，选择性地检测生物试样或系统的化学成分、提供生产过程有关信息的方法，由于具有良好的选择性和较强的特异性，在医学、生物学、环境监测以及发酵工业等领域分别有深入应用。电化学分析是建立在溶液电化学性质基础上的一类仪器分析方法，具有准确率高、灵敏度高、重复性好、测量范围宽、仪器设备简单等优点。</w:t>
      </w:r>
    </w:p>
    <w:p>
      <w:pP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关于植物病害预警方面，丁伟等对影响青枯病发病的关键因子进行研究，提出了青枯病的调查与监测预警方法，需借助微生态平衡等各方力量，开展绿色生态防控才能实现持续有效控制。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八十、PE塑料颗粒研究与应用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ind w:firstLine="316" w:firstLineChars="10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企业PE保护膜、高分子膜研发、自粘膜产品的研发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八十一、原料杂质无损挑拣技术及装备研发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肉制品加工过程中，原料带入杂质等问题已经成为行业难题，拟寻求资源支持，研发原料杂质无损挑拣技术及装备研发，用于解决生产过程中肉制品原料的挑拣问题。主要的原料内源性杂质集中在猪毛、鸡毛、碎骨、血污等问题，目前主要依靠人工进行挑拣修割，费人费力而且效果一般，拟通过电子眼、光谱、X射线等更先进的工程技术手段，来进行识别、挑出杂质，解决杂质不好挑拣的行业难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八十二、肉制品生产加工过程精准控制系统</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ind w:firstLine="632" w:firstLineChars="20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控制系统，用于解决在生产车间实际生产过程中，由于执行参数的偏差，比如关键环节的温度、运行时间、辅料的种类、精确度等出现问题时，能够主动识别并积极反馈系统，用于减少人工操作带来的生产工艺波动，稳定产品质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八十三、装配式一体化污水处理设备</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pStyle w:val="7"/>
        <w:ind w:firstLine="632" w:firstLineChars="200"/>
        <w:jc w:val="both"/>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现有装配式一体化污水处理设备，拟进行设备升级改造，以适应更宽广的污水处理市场。拟研发单体吨水2万方以上的装配式一体化污水处理设备，需对污水处理罐体的容积增大方面进行分析及试验，以完善产品设计，实现款速定型，缩短产品研发周期和上市时间，同时加速设备安装交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八十四、含油高盐废水低成本处理技术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我公司皂脚年加工量约 50 万吨，通用的加工方法是浓硫酸酸化法，加温酸化一定时间后产出酸化油(主要含脂肪酸和中性油)，按皂脚含水55％计算，此法排出大量的含硫酸根和油脂的混合废水。现阶段我公司对浓硫酸法加工皂脚产生的废水处理工艺成本略高，急需要引进切实有效的低成本处理手段对现有工艺进行升级改造。使得处理后的废水达到一级排放标准。</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八十五、二氧化碳超临界萃取</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1、超临界二氧化碳萃取技术绿色节能，无溶剂残留，无污染排放；超临界二氧化碳萃取技术可制备高品质芝麻油、蛋白质等，延长芝麻的加工链，实现深加工。</w:t>
      </w:r>
    </w:p>
    <w:p>
      <w:pPr>
        <w:pStyle w:val="7"/>
        <w:ind w:firstLine="632" w:firstLineChars="200"/>
        <w:jc w:val="both"/>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2、超临界二氧化碳萃取技术的萃取率可达到50%以上，远超小磨香油工艺的萃取率40%左右。萃取率=1-萃余物质量/萃取前你质量，芝麻含油量55%左右。</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八十六、一种建筑扣件计数机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ind w:firstLine="632" w:firstLineChars="20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该项目主要用于建筑施工用扣件的自动化点数工作，从装车点数、运输、成品点数存放，可实现扣件全流程自动化点数流水作业。随着建筑市场需求的日渐增长，扣件的需求量也会日益增加，目前传统的扣件人工点数作业方式已经远远不能满足当今的工作效率要求，目前的市场迫切需要全流程、智能、高效、自动化的点数作业流水线来实现扣件点数作业。</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八十七、预制盖梁高效装配技术研究与应用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盖梁的主要作用是支撑桥梁上部结构，并将全部荷载传到下部结构。近几年我国的道路事业快速发展，桥梁建设数量飞速上涨，为了满足桥梁建设的快速发展需求，同时响应“绿色低碳型、生态环保型”的发展趋势，预制盖梁技术发挥着愈来愈重要的角色。</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的预制盖梁施工过程中，仍存在许多亟待解决的问题，例如在受限于工人自身学习能力，传统交底并不能使工人掌握施工的重难点，易造成不必要的质量隐患；依靠人工辅以推动设备对盖梁的位置进行调整，导致施工难度增加，施工效率低下，盖梁安装的整齐性无法保证；临时电缆采用浅埋敷设的方式，不易保护且施工时容易挖断，影响正常的施工任务，带来安全隐患等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项目主要围绕桥梁预制盖梁高效装配关键技术进行研究创新，重点从三维可视化交底，通过BIM三维可视化模拟演示来对工人进行技术交底；辅助盖梁精确装配，创新新型预制盖梁装配系统，自动校准并调整预制盖梁的位置；临时电缆安全防护，研发新型临时电缆保护装置等关键技术进行研究。本项目对于促进行业科技进步及企业装配式建筑发展具有重要意义。</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八十八、BIM技术在装饰工程中的应用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ind w:firstLine="632" w:firstLineChars="20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BIM（Building Information Modeling）技术是一种应用于工程设计、建造、管理的数据化工具，通过对建筑的数据化、信息化模型整合，在项目策划、运行和维护的全生命周期过程中进行共享和传递。利用BIM软件可以计算出建筑工程量并制定施工进度计划，也可以利用BIM场布软件对施工现场进行布置。在3D建筑模型基础上加上时间和成本两个维度也就形成了5D建筑模型，可以通过BIM5D技术进行建筑工程的虚拟施工，对工程划分流水段关联进度计划就可以形成虚拟施工，该过程不仅可以合理地分配所有资源和监控施工现场，而且可以有效地缩短施工周期，控制施工成本。</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八十九、基板缺陷修补智能路径规划</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lang w:val="en-US" w:eastAsia="zh-CN"/>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根据公司视觉系统给出的缺陷类型和坐标进行路径规划分析后的数据通过工控机进行路径规划并传输给运动控制系统和腻修填充系统对基板缺陷进行精确修补。</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九十、基于符合83节能标准的尾矿深加工的建材产品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基于符合83节能标准的尾矿深加工的建材产品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九十一、超大功率连接器技术研发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 目前痛点分析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适用于电磁发射武器，配接大功率同轴电缆，能在10KV工作电压下承载35KA脉冲电流的超大功率电连接器，目前处于技术空白阶段，在国内地面装备中尚没有成熟的产品问世。为解决对电磁武器快速安全可靠的充电问题，迫切需要研制适用于电磁发射的新型超大功率连接器。“卡脖子”关键技术难题：大电流接触件设计、高电压结构设计、温升控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九十二、涉爆粉尘工程实验室建立</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东北大学涉爆粉尘试验室</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目前市场上的粉尘防爆产品参差不齐，大部分产品都未能经过第三方检测便投入市场，存在较大的安全隐患。</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针对目前市场上的粉尘防爆产品未经正规检验，无第三方检验合格证书，存在较大的安全隐患问题，我公司决定在临沂市建立粉尘防爆工程试验室，为更多的涉爆粉尘设备生产企业提供检测服务，使投入市场的产品均经过检验合格，保证产品应用企业的人身和财产安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九十三、针对牛蒡进行深加工，但是没有任何方向和定位</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食品研发方面有强烈需求，计划针对牛蒡进行深加工，但是没有任何方向和定位。利用牛蒡汁做成饮料，果肉做成饼干，下脚料做成茶叶、果皮做饲料。首先，果汁价格相对便宜，作为饮料，捆绑销售做饼干，茶的消费群体比较单一，时间持久，不利于快速占有市场。</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九十四、高分子聚合物在墙体隔热中的应用研究</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2.目前痛点分析（针对哪个设想的场景，某痛点）</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开发纳米聚合物复合材料并使之工业化应用,改造传统聚合物工业技术,希望通过高分子纳米材料的应用解决保温材料的导热系数、容重、氧指数等相关问题。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九十五、聚氯乙烯（PVC）高分子防水卷材生产技术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需要一种聚氯乙烯（PVC）高分子防水卷材生产技术，生产更环保、更耐久的防水卷材。</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九十六、铝单板设计图纸快速展开技术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 对标现有市面上的产品/技术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2.希望解决的技术问题</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目前现有铝单板图纸展开比较慢，影响工作效率。需要一种提升铝单板加工图纸展开效率，并标注尺寸大小的技术。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九十七、鹿血肽工业化制备生产建设及其产品延伸</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目前市场流行鹿血肽成分制备技术，为了获取更好经济效益，简化酶制备工艺，本方案采用复合酶，多种酶制剂分段工艺制备，能够有效控制工艺条件和产品成品成分，为鹿血肽成分标准化探索新的路径。</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（2）沂蒙梅花鹿克隆技术-关键DNA基因氨基酸活性实验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体外真核表达沂蒙梅花鹿激活素 A重组蛋白并测定其生物活性,为进一步明确激活素 A在沂蒙梅花鹿卵母细胞体外成熟过程中的生理学功能提供基础。是克隆羊技术在沂蒙梅花鹿克隆领域的应用，是开创性技术应用成果。</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鹿血肽制备工艺采用鲜鹿血酵母酶制剂发酵分解工艺，前期鹿血保存成本过高，分解过程工艺条件不好把握，有效成分控制难度比较大，分解肽成分分子相对比较大，影响鹿血肽的吸收率进一步提高。</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采用荧光定量PCR及Western blot检测了沂蒙梅花鹿激活素 A重组蛋白处理后的猪颗粒细胞中类固醇激素合成相关酶的表达量。</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方法实施方式中，内切蛋白酶选自巯基蛋白酶、胰蛋白酶、胃蛋白酶、胰凝乳蛋白酶、金属内切蛋白酶；外切蛋白酶是肽酶或金属外切蛋白酶，分阶段进行工艺处理。第一阶段：外切蛋白酶选自羧肽酶a、羧肽酶b、脯氨酰氨基酸酶或亚氨基二肽酶。金属内切蛋白酶包括不限于嗜热菌蛋白酶、胶原酶或出血蛋白酶。第二阶段：巯基蛋白酶选自木瓜蛋白酶、无花果蛋白酶、菠萝蛋白酶或链球菌蛋白酶。第三阶段：采用胃、胰蛋白酶进行酶解。通过多种酶先后酶解，有利于更为彻底的对鹿血蛋白进行酶解。酶解后灭活蛋白酶。灭活可采用高温水浴使得酶变性失活。</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利用RT-PCR技术克隆沂蒙梅花鹿激活素βA 亚基基因的cDNA 全长序列,同时利用生物信息学对沂蒙梅花鹿激活素βA的基因特征进行分析。构建pcDNA4/ACTBA重组质粒并转染至CHO细胞内,进行目的蛋白的体外表达。采用免疫荧光及Western blot 技术对目的蛋白表达情况进行检测,并通过Ni-NTA 亲和层析柱对蛋白产物进行纯化。采用Western blot检测了沂蒙梅花鹿激活素 A重组蛋白处理后羊细胞中的SMAD2和SMAD3的磷酸化水平以及类固醇激素合成相关酶的表达量。</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三、需求参数目标：</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采用干燥鹿血粉制备鹿血酒，其包括酒精和鹿血肽，鹿血酒中鹿血肽的含量为0.3g/100ml以内，比目前市场含量0.4g-0.67/100ml，有效提高鹿血使用效率翻倍，降低鹿血酒制备成本20%。</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克隆得到的沂蒙梅花鹿ACTBA亚基基因含有的碱基,编码测算氨基酸数量。进行同源性比较发现梅花鹿ACTBA基因与羊的ACTBA基因同源性进行同源比例分析。进化分析表明该基因与同为偶蹄目动物的羊亲缘关系接近程度，寻找差异化氨基酸作为克隆沂蒙梅花鹿的关键特征沂蒙梅花鹿特征氨基酸。</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四、考虑的方向：</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技术关键词：鹿血肽、干鹿血粉、鹿血肽酒；</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技术应用领域：鹿血肽酶制备方法；</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技术关键词：沂蒙梅花鹿、克隆技术、基因氨基酸制备；</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技术应用领域：关键基因确认技术；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九十八、梅花鹿鹿血干细胞活性物质研究及应用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目前市场流行鹿血肽成分制备技术，为了获取更好经济效益，简化酶制备工艺，本方案采用复合酶，多种酶制剂分段工艺制备，能够有效控制工艺条件和产品成品成分，为鹿血肽成分标准化探索新的路径。</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（2）沂蒙梅花鹿克隆技术-关键DNA基因氨基酸活性实验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体外真核表达沂蒙梅花鹿激活素 A重组蛋白并测定其生物活性,为进一步明确激活素 A在沂蒙梅花鹿卵母细胞体外成熟过程中的生理学功能提供基础。是克隆羊技术在沂蒙梅花鹿克隆领域的应用，是开创性技术应用成果。</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鹿血肽制备工艺采用鲜鹿血酵母酶制剂发酵分解工艺，前期鹿血保存成本过高，分解过程工艺条件不好把握，有效成分控制难度比较大，分解肽成分分子相对比较大，影响鹿血肽的吸收率进一步提高。</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采用荧光定量PCR及Western blot检测了沂蒙梅花鹿激活素 A重组蛋白处理后的猪颗粒细胞中类固醇激素合成相关酶的表达量。</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方法实施方式中，内切蛋白酶选自巯基蛋白酶、胰蛋白酶、胃蛋白酶、胰凝乳蛋白酶、金属内切蛋白酶；外切蛋白酶是肽酶或金属外切蛋白酶，分阶段进行工艺处理。第一阶段：外切蛋白酶选自羧肽酶a、羧肽酶b、脯氨酰氨基酸酶或亚氨基二肽酶。金属内切蛋白酶包括不限于嗜热菌蛋白酶、胶原酶或出血蛋白酶。第二阶段：巯基蛋白酶选自木瓜蛋白酶、无花果蛋白酶、菠萝蛋白酶或链球菌蛋白酶。第三阶段：采用胃、胰蛋白酶进行酶解。通过多种酶先后酶解，有利于更为彻底的对鹿血蛋白进行酶解。酶解后灭活蛋白酶。灭活可采用高温水浴使得酶变性失活。</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利用RT-PCR技术克隆沂蒙梅花鹿激活素βA 亚基基因的cDNA 全长序列,同时利用生物信息学对沂蒙梅花鹿激活素βA的基因特征进行分析。构建pcDNA4/ACTBA重组质粒并转染至CHO细胞内,进行目的蛋白的体外表达。采用免疫荧光及Western blot 技术对目的蛋白表达情况进行检测,并通过Ni-NTA 亲和层析柱对蛋白产物进行纯化。采用Western blot检测了沂蒙梅花鹿激活素 A重组蛋白处理后羊细胞中的SMAD2和SMAD3的磷酸化水平以及类固醇激素合成相关酶的表达量。</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三、需求参数目标：</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采用干燥鹿血粉制备鹿血酒，其包括酒精和鹿血肽，鹿血酒中鹿血肽的含量为0.3g/100ml以内，比目前市场含量0.4g-0.67/100ml，有效提高鹿血使用效率翻倍，降低鹿血酒制备成本20%。</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克隆得到的沂蒙梅花鹿ACTBA亚基基因含有的碱基,编码测算氨基酸数量。进行同源性比较发现梅花鹿ACTBA基因与羊的ACTBA基因同源性进行同源比例分析。进化分析表明该基因与同为偶蹄目动物的羊亲缘关系接近程度，寻找差异化氨基酸作为克隆沂蒙梅花鹿的关键特征沂蒙梅花鹿特征氨基酸。</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四、考虑的方向：</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技术关键词：鹿血肽、干鹿血粉、鹿血肽酒；</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技术应用领域：鹿血肽酶制备方法；</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技术关键词：沂蒙梅花鹿、克隆技术、基因氨基酸制备；</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技术应用领域：关键基因确认技术；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九十九、梅花鹿克隆技术研究及应用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目前市场流行鹿血肽成分制备技术，为了获取更好经济效益，简化酶制备工艺，本方案采用复合酶，多种酶制剂分段工艺制备，能够有效控制工艺条件和产品成品成分，为鹿血肽成分标准化探索新的路径。</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（2）沂蒙梅花鹿克隆技术-关键DNA基因氨基酸活性实验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体外真核表达沂蒙梅花鹿激活素 A重组蛋白并测定其生物活性,为进一步明确激活素 A在沂蒙梅花鹿卵母细胞体外成熟过程中的生理学功能提供基础。是克隆羊技术在沂蒙梅花鹿克隆领域的应用，是开创性技术应用成果。</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2.目前痛点分析</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鹿血肽制备工艺采用鲜鹿血酵母酶制剂发酵分解工艺，前期鹿血保存成本过高，分解过程工艺条件不好把握，有效成分控制难度比较大，分解肽成分分子相对比较大，影响鹿血肽的吸收率进一步提高。</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采用荧光定量PCR及Western blot检测了沂蒙梅花鹿激活素 A重组蛋白处理后的猪颗粒细胞中类固醇激素合成相关酶的表达量。</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3.希望解决的技术问题</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本方法实施方式中，内切蛋白酶选自巯基蛋白酶、胰蛋白酶、胃蛋白酶、胰凝乳蛋白酶、金属内切蛋白酶；外切蛋白酶是肽酶或金属外切蛋白酶，分阶段进行工艺处理。第一阶段：外切蛋白酶选自羧肽酶a、羧肽酶b、脯氨酰氨基酸酶或亚氨基二肽酶。金属内切蛋白酶包括不限于嗜热菌蛋白酶、胶原酶或出血蛋白酶。第二阶段：巯基蛋白酶选自木瓜蛋白酶、无花果蛋白酶、菠萝蛋白酶或链球菌蛋白酶。第三阶段：采用胃、胰蛋白酶进行酶解。通过多种酶先后酶解，有利于更为彻底的对鹿血蛋白进行酶解。酶解后灭活蛋白酶。灭活可采用高温水浴使得酶变性失活。</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利用RT-PCR技术克隆沂蒙梅花鹿激活素βA 亚基基因的cDNA 全长序列,同时利用生物信息学对沂蒙梅花鹿激活素βA的基因特征进行分析。构建pcDNA4/ACTBA重组质粒并转染至CHO细胞内,进行目的蛋白的体外表达。采用免疫荧光及Western blot 技术对目的蛋白表达情况进行检测,并通过Ni-NTA 亲和层析柱对蛋白产物进行纯化。采用Western blot检测了沂蒙梅花鹿激活素 A重组蛋白处理后羊细胞中的SMAD2和SMAD3的磷酸化水平以及类固醇激素合成相关酶的表达量。</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三、需求参数目标：</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采用干燥鹿血粉制备鹿血酒，其包括酒精和鹿血肽，鹿血酒中鹿血肽的含量为0.3g/100ml以内，比目前市场含量0.4g-0.67/100ml，有效提高鹿血使用效率翻倍，降低鹿血酒制备成本20%。</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克隆得到的沂蒙梅花鹿ACTBA亚基基因含有的碱基,编码测算氨基酸数量。进行同源性比较发现梅花鹿ACTBA基因与羊的ACTBA基因同源性进行同源比例分析。进化分析表明该基因与同为偶蹄目动物的羊亲缘关系接近程度，寻找差异化氨基酸作为克隆沂蒙梅花鹿的关键特征沂蒙梅花鹿特征氨基酸。</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四、考虑的方向：</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（1）鹿血肽工业化制备工艺优化</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技术关键词：鹿血肽、干鹿血粉、鹿血肽酒；</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技术应用领域：鹿血肽酶制备方法；</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（2）沂蒙梅花鹿克隆技术-关键DNA基因氨基酸证明实验</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技术关键词：沂蒙梅花鹿、克隆技术、基因氨基酸制备；</w:t>
      </w:r>
    </w:p>
    <w:p>
      <w:pPr>
        <w:pStyle w:val="7"/>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技术应用领域：关键基因确认技术；</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outlineLvl w:val="0"/>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bCs/>
          <w:i w:val="0"/>
          <w:iCs w:val="0"/>
          <w:caps w:val="0"/>
          <w:color w:val="auto"/>
          <w:spacing w:val="0"/>
          <w:kern w:val="0"/>
          <w:sz w:val="32"/>
          <w:szCs w:val="32"/>
          <w:highlight w:val="none"/>
          <w:shd w:val="clear" w:color="auto" w:fill="FFFFFF"/>
          <w:lang w:val="en-US" w:eastAsia="zh-CN" w:bidi="ar"/>
        </w:rPr>
        <w:t>一百、马铃薯种薯脱毒组培研发</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需求描述：</w:t>
      </w:r>
    </w:p>
    <w:p>
      <w:pPr>
        <w:pStyle w:val="7"/>
        <w:ind w:firstLine="632" w:firstLineChars="200"/>
        <w:jc w:val="both"/>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pPr>
      <w:r>
        <w:rPr>
          <w:rFonts w:hint="eastAsia" w:ascii="Times New Roman" w:hAnsi="Times New Roman" w:eastAsia="仿宋_GB2312" w:cs="Times New Roman"/>
          <w:b w:val="0"/>
          <w:bCs w:val="0"/>
          <w:i w:val="0"/>
          <w:iCs w:val="0"/>
          <w:caps w:val="0"/>
          <w:color w:val="auto"/>
          <w:spacing w:val="0"/>
          <w:kern w:val="0"/>
          <w:sz w:val="32"/>
          <w:szCs w:val="32"/>
          <w:highlight w:val="none"/>
          <w:shd w:val="clear" w:color="auto" w:fill="FFFFFF"/>
          <w:lang w:val="en-US" w:eastAsia="zh-CN" w:bidi="ar"/>
        </w:rPr>
        <w:t>1.对标现有市面上的产品/技术</w:t>
      </w:r>
    </w:p>
    <w:p>
      <w:pPr>
        <w:rPr>
          <w:rFonts w:hint="eastAsia"/>
          <w:lang w:val="en-US" w:eastAsia="zh-CN"/>
        </w:rPr>
      </w:pPr>
      <w:r>
        <w:rPr>
          <w:rFonts w:hint="eastAsia"/>
          <w:lang w:val="en-US" w:eastAsia="zh-CN"/>
        </w:rPr>
        <w:t xml:space="preserve">    2.目前痛点分析（针对哪个设想的场景，某痛点）</w:t>
      </w:r>
    </w:p>
    <w:p>
      <w:pPr>
        <w:rPr>
          <w:rFonts w:hint="eastAsia"/>
          <w:lang w:val="en-US" w:eastAsia="zh-CN"/>
        </w:rPr>
      </w:pPr>
      <w:r>
        <w:rPr>
          <w:rFonts w:hint="eastAsia"/>
          <w:lang w:val="en-US" w:eastAsia="zh-CN"/>
        </w:rPr>
        <w:t>兰陵县是蔬菜大县，有着悠久的蔬菜种植历史，根茎类薯类蔬菜更是面积广产量大，马铃薯在兰陵县及周边县市的种植面积达十几万亩。为了更好的解决农业的“芯片”也就是种子，同时也是为了更好的培育出适合兰陵本地气候土壤温度的马铃薯，合作社决定在原有的基础上继续投资研发适宜在本地种植的马铃薯种薯。主要建设马铃薯种薯脱毒组培研发中心一处。</w:t>
      </w:r>
    </w:p>
    <w:p>
      <w:pPr>
        <w:rPr>
          <w:rFonts w:hint="eastAsia"/>
          <w:lang w:val="en-US" w:eastAsia="zh-CN"/>
        </w:rPr>
      </w:pPr>
      <w:r>
        <w:rPr>
          <w:rFonts w:hint="eastAsia"/>
          <w:lang w:val="en-US" w:eastAsia="zh-CN"/>
        </w:rPr>
        <w:t>3.希望解决的技术问题</w:t>
      </w:r>
    </w:p>
    <w:p>
      <w:pPr>
        <w:rPr>
          <w:rFonts w:hint="eastAsia"/>
          <w:lang w:val="en-US" w:eastAsia="zh-CN"/>
        </w:rPr>
      </w:pPr>
      <w:r>
        <w:rPr>
          <w:rFonts w:hint="eastAsia"/>
          <w:lang w:val="en-US" w:eastAsia="zh-CN"/>
        </w:rPr>
        <w:t>针对组培技术问题，开展马铃薯种薯脱毒研究。</w:t>
      </w:r>
    </w:p>
    <w:p>
      <w:pPr>
        <w:rPr>
          <w:rFonts w:hint="eastAsia"/>
          <w:lang w:val="en-US" w:eastAsia="zh-CN"/>
        </w:rPr>
      </w:pPr>
      <w:r>
        <w:rPr>
          <w:rFonts w:hint="eastAsia"/>
          <w:lang w:val="en-US" w:eastAsia="zh-CN"/>
        </w:rPr>
        <w:t>三、需求参数目标：</w:t>
      </w:r>
    </w:p>
    <w:p>
      <w:pPr>
        <w:rPr>
          <w:rFonts w:hint="eastAsia"/>
          <w:lang w:val="en-US" w:eastAsia="zh-CN"/>
        </w:rPr>
      </w:pPr>
      <w:r>
        <w:rPr>
          <w:rFonts w:hint="eastAsia"/>
          <w:lang w:val="en-US" w:eastAsia="zh-CN"/>
        </w:rPr>
        <w:t>1.组培数量达到种植30000亩面积以上</w:t>
      </w:r>
    </w:p>
    <w:p>
      <w:pPr>
        <w:rPr>
          <w:rFonts w:hint="eastAsia"/>
          <w:lang w:val="en-US" w:eastAsia="zh-CN"/>
        </w:rPr>
      </w:pPr>
      <w:r>
        <w:rPr>
          <w:rFonts w:hint="eastAsia"/>
          <w:lang w:val="en-US" w:eastAsia="zh-CN"/>
        </w:rPr>
        <w:t>四、考虑的方向：</w:t>
      </w:r>
    </w:p>
    <w:p>
      <w:pPr>
        <w:rPr>
          <w:rFonts w:hint="default"/>
          <w:lang w:val="en-US" w:eastAsia="zh-CN"/>
        </w:rPr>
      </w:pPr>
      <w:r>
        <w:rPr>
          <w:rFonts w:hint="eastAsia"/>
          <w:lang w:val="en-US" w:eastAsia="zh-CN"/>
        </w:rPr>
        <w:t xml:space="preserve"> 节约本地马铃薯种薯采购成本，减轻种植户的投资成本。</w:t>
      </w:r>
    </w:p>
    <w:p>
      <w:pPr>
        <w:pStyle w:val="7"/>
        <w:jc w:val="both"/>
        <w:rPr>
          <w:rFonts w:hint="eastAsia"/>
          <w:lang w:val="en-US" w:eastAsia="zh-CN"/>
        </w:rPr>
      </w:pPr>
    </w:p>
    <w:sectPr>
      <w:pgSz w:w="11906" w:h="16838"/>
      <w:pgMar w:top="2098" w:right="1474" w:bottom="1984" w:left="1588" w:header="851" w:footer="1400"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D7FE1"/>
    <w:multiLevelType w:val="singleLevel"/>
    <w:tmpl w:val="812D7FE1"/>
    <w:lvl w:ilvl="0" w:tentative="0">
      <w:start w:val="1"/>
      <w:numFmt w:val="decimal"/>
      <w:suff w:val="space"/>
      <w:lvlText w:val="%1."/>
      <w:lvlJc w:val="left"/>
      <w:pPr>
        <w:ind w:left="631" w:leftChars="0" w:firstLine="0" w:firstLineChars="0"/>
      </w:pPr>
    </w:lvl>
  </w:abstractNum>
  <w:abstractNum w:abstractNumId="1">
    <w:nsid w:val="A61024C9"/>
    <w:multiLevelType w:val="singleLevel"/>
    <w:tmpl w:val="A61024C9"/>
    <w:lvl w:ilvl="0" w:tentative="0">
      <w:start w:val="1"/>
      <w:numFmt w:val="decimal"/>
      <w:lvlText w:val="%1."/>
      <w:lvlJc w:val="left"/>
      <w:pPr>
        <w:tabs>
          <w:tab w:val="left" w:pos="312"/>
        </w:tabs>
        <w:ind w:left="-2"/>
      </w:pPr>
    </w:lvl>
  </w:abstractNum>
  <w:abstractNum w:abstractNumId="2">
    <w:nsid w:val="AE6802E8"/>
    <w:multiLevelType w:val="singleLevel"/>
    <w:tmpl w:val="AE6802E8"/>
    <w:lvl w:ilvl="0" w:tentative="0">
      <w:start w:val="1"/>
      <w:numFmt w:val="decimal"/>
      <w:lvlText w:val="%1."/>
      <w:lvlJc w:val="left"/>
      <w:pPr>
        <w:tabs>
          <w:tab w:val="left" w:pos="312"/>
        </w:tabs>
      </w:pPr>
    </w:lvl>
  </w:abstractNum>
  <w:abstractNum w:abstractNumId="3">
    <w:nsid w:val="C049660B"/>
    <w:multiLevelType w:val="singleLevel"/>
    <w:tmpl w:val="C049660B"/>
    <w:lvl w:ilvl="0" w:tentative="0">
      <w:start w:val="1"/>
      <w:numFmt w:val="decimal"/>
      <w:lvlText w:val="%1."/>
      <w:lvlJc w:val="left"/>
      <w:pPr>
        <w:tabs>
          <w:tab w:val="left" w:pos="312"/>
        </w:tabs>
      </w:pPr>
    </w:lvl>
  </w:abstractNum>
  <w:abstractNum w:abstractNumId="4">
    <w:nsid w:val="CD855B68"/>
    <w:multiLevelType w:val="singleLevel"/>
    <w:tmpl w:val="CD855B68"/>
    <w:lvl w:ilvl="0" w:tentative="0">
      <w:start w:val="1"/>
      <w:numFmt w:val="decimal"/>
      <w:lvlText w:val="%1."/>
      <w:lvlJc w:val="left"/>
      <w:pPr>
        <w:tabs>
          <w:tab w:val="left" w:pos="312"/>
        </w:tabs>
      </w:pPr>
    </w:lvl>
  </w:abstractNum>
  <w:abstractNum w:abstractNumId="5">
    <w:nsid w:val="28002B8A"/>
    <w:multiLevelType w:val="singleLevel"/>
    <w:tmpl w:val="28002B8A"/>
    <w:lvl w:ilvl="0" w:tentative="0">
      <w:start w:val="1"/>
      <w:numFmt w:val="decimal"/>
      <w:suff w:val="space"/>
      <w:lvlText w:val="%1."/>
      <w:lvlJc w:val="left"/>
    </w:lvl>
  </w:abstractNum>
  <w:abstractNum w:abstractNumId="6">
    <w:nsid w:val="450DCDC0"/>
    <w:multiLevelType w:val="singleLevel"/>
    <w:tmpl w:val="450DCDC0"/>
    <w:lvl w:ilvl="0" w:tentative="0">
      <w:start w:val="1"/>
      <w:numFmt w:val="decimal"/>
      <w:lvlText w:val="%1."/>
      <w:lvlJc w:val="left"/>
      <w:pPr>
        <w:tabs>
          <w:tab w:val="left" w:pos="312"/>
        </w:tabs>
      </w:pPr>
    </w:lvl>
  </w:abstractNum>
  <w:abstractNum w:abstractNumId="7">
    <w:nsid w:val="484F13E3"/>
    <w:multiLevelType w:val="singleLevel"/>
    <w:tmpl w:val="484F13E3"/>
    <w:lvl w:ilvl="0" w:tentative="0">
      <w:start w:val="1"/>
      <w:numFmt w:val="decimal"/>
      <w:lvlText w:val="%1."/>
      <w:lvlJc w:val="left"/>
      <w:pPr>
        <w:tabs>
          <w:tab w:val="left" w:pos="312"/>
        </w:tabs>
      </w:pPr>
    </w:lvl>
  </w:abstractNum>
  <w:abstractNum w:abstractNumId="8">
    <w:nsid w:val="495FC90D"/>
    <w:multiLevelType w:val="singleLevel"/>
    <w:tmpl w:val="495FC90D"/>
    <w:lvl w:ilvl="0" w:tentative="0">
      <w:start w:val="1"/>
      <w:numFmt w:val="decimal"/>
      <w:suff w:val="space"/>
      <w:lvlText w:val="%1."/>
      <w:lvlJc w:val="left"/>
    </w:lvl>
  </w:abstractNum>
  <w:abstractNum w:abstractNumId="9">
    <w:nsid w:val="555EF833"/>
    <w:multiLevelType w:val="singleLevel"/>
    <w:tmpl w:val="555EF833"/>
    <w:lvl w:ilvl="0" w:tentative="0">
      <w:start w:val="3"/>
      <w:numFmt w:val="decimal"/>
      <w:suff w:val="nothing"/>
      <w:lvlText w:val="%1）"/>
      <w:lvlJc w:val="left"/>
    </w:lvl>
  </w:abstractNum>
  <w:num w:numId="1">
    <w:abstractNumId w:val="0"/>
  </w:num>
  <w:num w:numId="2">
    <w:abstractNumId w:val="3"/>
  </w:num>
  <w:num w:numId="3">
    <w:abstractNumId w:val="6"/>
  </w:num>
  <w:num w:numId="4">
    <w:abstractNumId w:val="4"/>
  </w:num>
  <w:num w:numId="5">
    <w:abstractNumId w:val="9"/>
  </w:num>
  <w:num w:numId="6">
    <w:abstractNumId w:val="7"/>
  </w:num>
  <w:num w:numId="7">
    <w:abstractNumId w:val="2"/>
  </w:num>
  <w:num w:numId="8">
    <w:abstractNumId w:val="1"/>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1NWNjYWFkMTQ1ZGViOTg4MDI1MGI0MjI5ODMzOGEifQ=="/>
  </w:docVars>
  <w:rsids>
    <w:rsidRoot w:val="00000000"/>
    <w:rsid w:val="01C0309B"/>
    <w:rsid w:val="01C97DB1"/>
    <w:rsid w:val="04DB2BCE"/>
    <w:rsid w:val="09181CBB"/>
    <w:rsid w:val="0A7326CE"/>
    <w:rsid w:val="0AAE3EBB"/>
    <w:rsid w:val="0B616944"/>
    <w:rsid w:val="0B86206A"/>
    <w:rsid w:val="0C070EE4"/>
    <w:rsid w:val="12667D53"/>
    <w:rsid w:val="139D2A1A"/>
    <w:rsid w:val="152D1C71"/>
    <w:rsid w:val="169A6CF7"/>
    <w:rsid w:val="19A9011E"/>
    <w:rsid w:val="1FCA7BA2"/>
    <w:rsid w:val="206E23AA"/>
    <w:rsid w:val="2A23273B"/>
    <w:rsid w:val="2A4F0EB0"/>
    <w:rsid w:val="2A954134"/>
    <w:rsid w:val="2BC60659"/>
    <w:rsid w:val="2C3D481C"/>
    <w:rsid w:val="2D332CF7"/>
    <w:rsid w:val="2F8310E0"/>
    <w:rsid w:val="30821636"/>
    <w:rsid w:val="30952B31"/>
    <w:rsid w:val="331705A4"/>
    <w:rsid w:val="33742D9C"/>
    <w:rsid w:val="34034DAB"/>
    <w:rsid w:val="356C5314"/>
    <w:rsid w:val="356F1766"/>
    <w:rsid w:val="3AA7639D"/>
    <w:rsid w:val="3AB11BA2"/>
    <w:rsid w:val="3BC9431F"/>
    <w:rsid w:val="3BFE407D"/>
    <w:rsid w:val="3C6F59E2"/>
    <w:rsid w:val="42763A9E"/>
    <w:rsid w:val="43E027C8"/>
    <w:rsid w:val="471C7D7D"/>
    <w:rsid w:val="47BC28EC"/>
    <w:rsid w:val="47CA68DB"/>
    <w:rsid w:val="4AA55784"/>
    <w:rsid w:val="4AB61B9C"/>
    <w:rsid w:val="4BAA5C07"/>
    <w:rsid w:val="4BC70255"/>
    <w:rsid w:val="4C5704C0"/>
    <w:rsid w:val="4E9D1D67"/>
    <w:rsid w:val="4FBB1BD2"/>
    <w:rsid w:val="50267B3A"/>
    <w:rsid w:val="51916E24"/>
    <w:rsid w:val="538E7A01"/>
    <w:rsid w:val="575E5E0B"/>
    <w:rsid w:val="58C824A8"/>
    <w:rsid w:val="59DB3743"/>
    <w:rsid w:val="5D91297B"/>
    <w:rsid w:val="5F852B98"/>
    <w:rsid w:val="5FC65CF0"/>
    <w:rsid w:val="60A22B84"/>
    <w:rsid w:val="62CF2BA2"/>
    <w:rsid w:val="655E6B0E"/>
    <w:rsid w:val="65CD2272"/>
    <w:rsid w:val="69CD6B13"/>
    <w:rsid w:val="69EE4672"/>
    <w:rsid w:val="6BF71509"/>
    <w:rsid w:val="6D1A69D2"/>
    <w:rsid w:val="6D6641BD"/>
    <w:rsid w:val="6FC43977"/>
    <w:rsid w:val="750031FC"/>
    <w:rsid w:val="761128A1"/>
    <w:rsid w:val="771172FD"/>
    <w:rsid w:val="77E433BE"/>
    <w:rsid w:val="78312E56"/>
    <w:rsid w:val="78FE3040"/>
    <w:rsid w:val="79975481"/>
    <w:rsid w:val="7B61727C"/>
    <w:rsid w:val="7B7202A1"/>
    <w:rsid w:val="7BDF5FA8"/>
    <w:rsid w:val="7C22504E"/>
    <w:rsid w:val="7D0B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32"/>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rPr>
      <w:rFonts w:ascii="Calibri" w:hAnsi="Calibri"/>
      <w:sz w:val="24"/>
    </w:rPr>
  </w:style>
  <w:style w:type="paragraph" w:styleId="5">
    <w:name w:val="toc 1"/>
    <w:basedOn w:val="1"/>
    <w:next w:val="1"/>
    <w:qFormat/>
    <w:uiPriority w:val="0"/>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7">
    <w:name w:val="Title"/>
    <w:basedOn w:val="1"/>
    <w:next w:val="1"/>
    <w:qFormat/>
    <w:uiPriority w:val="99"/>
    <w:pPr>
      <w:spacing w:before="240" w:after="60"/>
      <w:jc w:val="center"/>
      <w:outlineLvl w:val="0"/>
    </w:pPr>
    <w:rPr>
      <w:rFonts w:ascii="Cambria" w:hAnsi="Cambria"/>
      <w:b/>
      <w:bCs/>
      <w:sz w:val="32"/>
      <w:szCs w:val="32"/>
    </w:rPr>
  </w:style>
  <w:style w:type="paragraph" w:customStyle="1" w:styleId="10">
    <w:name w:val="WPSOffice手动目录 1"/>
    <w:qFormat/>
    <w:uiPriority w:val="0"/>
    <w:pPr>
      <w:ind w:leftChars="0"/>
    </w:pPr>
    <w:rPr>
      <w:rFonts w:asciiTheme="minorHAnsi" w:hAnsiTheme="minorHAnsi" w:eastAsiaTheme="minorEastAsia" w:cstheme="minorBidi"/>
      <w:sz w:val="20"/>
      <w:szCs w:val="20"/>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14790</Words>
  <Characters>15436</Characters>
  <Lines>0</Lines>
  <Paragraphs>0</Paragraphs>
  <TotalTime>0</TotalTime>
  <ScaleCrop>false</ScaleCrop>
  <LinksUpToDate>false</LinksUpToDate>
  <CharactersWithSpaces>15498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W.</cp:lastModifiedBy>
  <cp:lastPrinted>2022-05-07T08:10:00Z</cp:lastPrinted>
  <dcterms:modified xsi:type="dcterms:W3CDTF">2023-10-19T07:44:13Z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DD2ED34DC3AC4D1C935B4DCFA4679C40_13</vt:lpwstr>
  </property>
</Properties>
</file>