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outlineLvl w:val="0"/>
        <w:rPr>
          <w:rFonts w:ascii="宋体" w:hAnsi="宋体"/>
          <w:b/>
          <w:color w:val="FF0000"/>
          <w:sz w:val="36"/>
          <w:szCs w:val="36"/>
        </w:rPr>
      </w:pPr>
      <w:r>
        <w:rPr>
          <w:rFonts w:hint="eastAsia" w:ascii="宋体" w:hAnsi="宋体"/>
          <w:b/>
          <w:color w:val="000000"/>
          <w:sz w:val="36"/>
          <w:szCs w:val="36"/>
        </w:rPr>
        <w:t>中国发明协会提名公示内容-成果奖</w:t>
      </w:r>
    </w:p>
    <w:p>
      <w:pPr>
        <w:spacing w:line="300" w:lineRule="auto"/>
        <w:jc w:val="center"/>
        <w:rPr>
          <w:rFonts w:ascii="方正小标宋简体" w:hAnsi="宋体"/>
          <w:bCs/>
          <w:color w:val="000000"/>
          <w:sz w:val="36"/>
          <w:szCs w:val="36"/>
        </w:rPr>
      </w:pPr>
      <w:r>
        <w:rPr>
          <w:rFonts w:hint="eastAsia" w:ascii="方正小标宋简体" w:hAnsi="宋体"/>
          <w:bCs/>
          <w:color w:val="000000"/>
          <w:sz w:val="36"/>
          <w:szCs w:val="36"/>
        </w:rPr>
        <w:t>（</w:t>
      </w:r>
      <w:r>
        <w:rPr>
          <w:rFonts w:hint="default" w:ascii="Times New Roman" w:hAnsi="Times New Roman" w:cs="Times New Roman"/>
          <w:color w:val="000000"/>
          <w:sz w:val="36"/>
          <w:szCs w:val="24"/>
        </w:rPr>
        <w:t>2024</w:t>
      </w:r>
      <w:r>
        <w:rPr>
          <w:rFonts w:hint="eastAsia" w:ascii="方正小标宋简体" w:hAnsi="宋体"/>
          <w:bCs/>
          <w:color w:val="000000"/>
          <w:sz w:val="36"/>
          <w:szCs w:val="36"/>
        </w:rPr>
        <w:t>年度）</w:t>
      </w:r>
    </w:p>
    <w:p>
      <w:pPr>
        <w:spacing w:line="300" w:lineRule="auto"/>
        <w:jc w:val="left"/>
        <w:rPr>
          <w:rFonts w:ascii="宋体" w:hAnsi="宋体"/>
          <w:b/>
          <w:color w:val="000000"/>
          <w:sz w:val="28"/>
          <w:szCs w:val="28"/>
        </w:rPr>
      </w:pPr>
      <w:r>
        <w:rPr>
          <w:rFonts w:hint="eastAsia" w:ascii="宋体" w:hAnsi="宋体"/>
          <w:b/>
          <w:color w:val="000000"/>
          <w:sz w:val="28"/>
          <w:szCs w:val="28"/>
        </w:rPr>
        <w:t>一、项目名称</w:t>
      </w:r>
    </w:p>
    <w:p>
      <w:pPr>
        <w:spacing w:line="30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高强高塑性板带钢制备关键工艺与工业化稳定生产技术开发及应用</w:t>
      </w:r>
    </w:p>
    <w:p>
      <w:pPr>
        <w:spacing w:line="300" w:lineRule="auto"/>
        <w:jc w:val="left"/>
        <w:rPr>
          <w:rFonts w:ascii="宋体" w:hAnsi="宋体"/>
          <w:b/>
          <w:color w:val="000000"/>
          <w:sz w:val="28"/>
          <w:szCs w:val="28"/>
        </w:rPr>
      </w:pPr>
      <w:r>
        <w:rPr>
          <w:rFonts w:hint="eastAsia" w:ascii="宋体" w:hAnsi="宋体"/>
          <w:b/>
          <w:color w:val="000000"/>
          <w:sz w:val="28"/>
          <w:szCs w:val="28"/>
        </w:rPr>
        <w:t>二、提名者</w:t>
      </w:r>
    </w:p>
    <w:p>
      <w:pPr>
        <w:spacing w:line="300" w:lineRule="auto"/>
        <w:ind w:firstLine="480" w:firstLineChars="200"/>
        <w:jc w:val="left"/>
        <w:rPr>
          <w:rFonts w:ascii="宋体" w:hAnsi="宋体"/>
          <w:color w:val="000000"/>
          <w:sz w:val="28"/>
          <w:szCs w:val="28"/>
        </w:rPr>
      </w:pPr>
      <w:r>
        <w:rPr>
          <w:rFonts w:hint="eastAsia" w:ascii="宋体" w:hAnsi="宋体"/>
          <w:color w:val="000000"/>
          <w:sz w:val="24"/>
          <w:szCs w:val="24"/>
        </w:rPr>
        <w:t>山东科技大学</w:t>
      </w:r>
    </w:p>
    <w:p>
      <w:pPr>
        <w:spacing w:line="300" w:lineRule="auto"/>
        <w:jc w:val="left"/>
        <w:rPr>
          <w:rFonts w:ascii="宋体" w:hAnsi="宋体"/>
          <w:b/>
          <w:color w:val="000000"/>
          <w:sz w:val="28"/>
          <w:szCs w:val="28"/>
        </w:rPr>
      </w:pPr>
      <w:r>
        <w:rPr>
          <w:rFonts w:hint="eastAsia" w:ascii="宋体" w:hAnsi="宋体"/>
          <w:b/>
          <w:color w:val="000000"/>
          <w:sz w:val="28"/>
          <w:szCs w:val="28"/>
        </w:rPr>
        <w:t>三、提名意见</w:t>
      </w:r>
    </w:p>
    <w:p>
      <w:pPr>
        <w:keepNext w:val="0"/>
        <w:keepLines w:val="0"/>
        <w:pageBreakBefore w:val="0"/>
        <w:widowControl/>
        <w:kinsoku/>
        <w:wordWrap/>
        <w:overflowPunct/>
        <w:topLinePunct w:val="0"/>
        <w:autoSpaceDE/>
        <w:autoSpaceDN/>
        <w:bidi w:val="0"/>
        <w:adjustRightInd/>
        <w:snapToGrid/>
        <w:spacing w:line="400" w:lineRule="atLeast"/>
        <w:ind w:firstLine="480" w:firstLineChars="200"/>
        <w:jc w:val="both"/>
        <w:textAlignment w:val="auto"/>
        <w:rPr>
          <w:rFonts w:hint="eastAsia" w:ascii="Times New Roman" w:hAnsi="Times New Roman" w:eastAsia="宋体" w:cs="仿宋_GB2312"/>
          <w:color w:val="000000"/>
          <w:sz w:val="24"/>
          <w:szCs w:val="24"/>
          <w:highlight w:val="none"/>
          <w:lang w:val="en-US" w:eastAsia="zh-CN"/>
        </w:rPr>
      </w:pPr>
      <w:r>
        <w:rPr>
          <w:rFonts w:hint="eastAsia" w:ascii="Times New Roman" w:hAnsi="Times New Roman" w:eastAsia="宋体" w:cs="仿宋_GB2312"/>
          <w:color w:val="000000"/>
          <w:sz w:val="24"/>
          <w:szCs w:val="24"/>
          <w:highlight w:val="none"/>
          <w:lang w:val="en-US" w:eastAsia="zh-CN"/>
        </w:rPr>
        <w:t>高强塑性板带钢的制备及稳定化生产工艺一直是我国钢铁行业的“卡脖子”技术。本项目</w:t>
      </w:r>
      <w:r>
        <w:rPr>
          <w:rFonts w:hint="eastAsia" w:ascii="Times New Roman" w:hAnsi="Times New Roman" w:eastAsia="宋体" w:cs="仿宋_GB2312"/>
          <w:color w:val="000000"/>
          <w:sz w:val="24"/>
          <w:szCs w:val="24"/>
          <w:highlight w:val="none"/>
          <w:lang w:val="en-US"/>
        </w:rPr>
        <w:t>从高强高塑性板带钢制备关键工艺设计及产品研发、冷轧-退火-热镀过程高质量稳定生产技术、冷轧前后处理整体提升技术的开发</w:t>
      </w:r>
      <w:r>
        <w:rPr>
          <w:rFonts w:hint="eastAsia" w:ascii="Times New Roman" w:hAnsi="Times New Roman" w:eastAsia="宋体" w:cs="仿宋_GB2312"/>
          <w:color w:val="000000"/>
          <w:sz w:val="24"/>
          <w:szCs w:val="24"/>
          <w:highlight w:val="none"/>
          <w:lang w:val="en-US" w:eastAsia="zh-CN"/>
        </w:rPr>
        <w:t>等方面取得了创新性的研究成果。</w:t>
      </w:r>
    </w:p>
    <w:p>
      <w:pPr>
        <w:keepNext w:val="0"/>
        <w:keepLines w:val="0"/>
        <w:pageBreakBefore w:val="0"/>
        <w:widowControl/>
        <w:kinsoku/>
        <w:wordWrap/>
        <w:overflowPunct/>
        <w:topLinePunct w:val="0"/>
        <w:autoSpaceDE/>
        <w:autoSpaceDN/>
        <w:bidi w:val="0"/>
        <w:adjustRightInd/>
        <w:snapToGrid/>
        <w:spacing w:line="400" w:lineRule="atLeast"/>
        <w:ind w:firstLine="480" w:firstLineChars="200"/>
        <w:jc w:val="both"/>
        <w:textAlignment w:val="auto"/>
        <w:rPr>
          <w:rFonts w:hint="default" w:ascii="Times New Roman" w:hAnsi="Times New Roman" w:eastAsia="宋体" w:cs="仿宋_GB2312"/>
          <w:color w:val="000000"/>
          <w:sz w:val="24"/>
          <w:szCs w:val="24"/>
          <w:highlight w:val="none"/>
          <w:lang w:val="en-US" w:eastAsia="zh-CN"/>
        </w:rPr>
      </w:pPr>
      <w:r>
        <w:rPr>
          <w:rFonts w:hint="default" w:ascii="Times New Roman" w:hAnsi="Times New Roman" w:eastAsia="宋体" w:cs="仿宋_GB2312"/>
          <w:color w:val="000000"/>
          <w:sz w:val="24"/>
          <w:szCs w:val="24"/>
          <w:highlight w:val="none"/>
          <w:lang w:val="en-US" w:eastAsia="zh-CN"/>
        </w:rPr>
        <w:t>1.开发了低成本高强高塑性板带钢成分设计与产品力学性能稳定性综合调控技术，研发出780~1180MPa级双相钢、辊压成型用钢、汽车座椅焊管用钢、机动车消音片基板等系列化产品，满足了复杂汽车零件制造及使用要求。</w:t>
      </w:r>
    </w:p>
    <w:p>
      <w:pPr>
        <w:keepNext w:val="0"/>
        <w:keepLines w:val="0"/>
        <w:pageBreakBefore w:val="0"/>
        <w:widowControl/>
        <w:kinsoku/>
        <w:wordWrap/>
        <w:overflowPunct/>
        <w:topLinePunct w:val="0"/>
        <w:autoSpaceDE/>
        <w:autoSpaceDN/>
        <w:bidi w:val="0"/>
        <w:adjustRightInd/>
        <w:snapToGrid/>
        <w:spacing w:line="400" w:lineRule="atLeast"/>
        <w:ind w:firstLine="480" w:firstLineChars="200"/>
        <w:jc w:val="both"/>
        <w:textAlignment w:val="auto"/>
        <w:rPr>
          <w:rFonts w:hint="default" w:ascii="Times New Roman" w:hAnsi="Times New Roman" w:eastAsia="宋体" w:cs="仿宋_GB2312"/>
          <w:color w:val="000000"/>
          <w:sz w:val="24"/>
          <w:szCs w:val="24"/>
          <w:highlight w:val="none"/>
          <w:lang w:val="en-US" w:eastAsia="zh-CN"/>
        </w:rPr>
      </w:pPr>
      <w:r>
        <w:rPr>
          <w:rFonts w:hint="default" w:ascii="Times New Roman" w:hAnsi="Times New Roman" w:eastAsia="宋体" w:cs="仿宋_GB2312"/>
          <w:color w:val="000000"/>
          <w:sz w:val="24"/>
          <w:szCs w:val="24"/>
          <w:highlight w:val="none"/>
          <w:lang w:val="en-US" w:eastAsia="zh-CN"/>
        </w:rPr>
        <w:t>2.研发了高强高塑性板带钢冷轧过程厚度综合控制技术，建立了连退过程炉辊粗糙度衰减模型与张力补偿技术，研发了高强钢退火过程炉辊结瘤防控装置与方法，开发了热镀锌产品表面锌花状态控制技术，保障了高强高塑性板带钢稳定生产与产品质量。</w:t>
      </w:r>
    </w:p>
    <w:p>
      <w:pPr>
        <w:keepNext w:val="0"/>
        <w:keepLines w:val="0"/>
        <w:pageBreakBefore w:val="0"/>
        <w:widowControl/>
        <w:kinsoku/>
        <w:wordWrap/>
        <w:overflowPunct/>
        <w:topLinePunct w:val="0"/>
        <w:autoSpaceDE/>
        <w:autoSpaceDN/>
        <w:bidi w:val="0"/>
        <w:adjustRightInd/>
        <w:snapToGrid/>
        <w:spacing w:line="400" w:lineRule="atLeast"/>
        <w:ind w:firstLine="480" w:firstLineChars="200"/>
        <w:jc w:val="both"/>
        <w:textAlignment w:val="auto"/>
        <w:rPr>
          <w:rFonts w:hint="default" w:ascii="Times New Roman" w:hAnsi="Times New Roman" w:eastAsia="宋体" w:cs="仿宋_GB2312"/>
          <w:color w:val="000000"/>
          <w:sz w:val="24"/>
          <w:szCs w:val="24"/>
          <w:highlight w:val="none"/>
          <w:lang w:val="en-US" w:eastAsia="zh-CN"/>
        </w:rPr>
      </w:pPr>
      <w:r>
        <w:rPr>
          <w:rFonts w:hint="default" w:ascii="Times New Roman" w:hAnsi="Times New Roman" w:eastAsia="宋体" w:cs="仿宋_GB2312"/>
          <w:color w:val="000000"/>
          <w:sz w:val="24"/>
          <w:szCs w:val="24"/>
          <w:highlight w:val="none"/>
          <w:lang w:val="en-US" w:eastAsia="zh-CN"/>
        </w:rPr>
        <w:t>3.建立了平整过程轧制力、延伸率以及轧辊原始粗糙度优化模型，提出了飞剪自动剪切速度控制方法，开发了具有自动补偿功能的高精度酸轧切边剪参数设定技术，提升了高强高塑性板带钢前后处理过程稳定性。</w:t>
      </w:r>
    </w:p>
    <w:p>
      <w:pPr>
        <w:spacing w:line="300" w:lineRule="auto"/>
        <w:rPr>
          <w:rFonts w:hint="default" w:ascii="Times New Roman" w:hAnsi="Times New Roman" w:eastAsia="宋体" w:cs="仿宋_GB2312"/>
          <w:color w:val="000000"/>
          <w:sz w:val="24"/>
          <w:szCs w:val="24"/>
          <w:highlight w:val="none"/>
          <w:lang w:val="en-US" w:eastAsia="zh-CN"/>
        </w:rPr>
      </w:pPr>
      <w:r>
        <w:rPr>
          <w:rFonts w:hint="default" w:ascii="Times New Roman" w:hAnsi="Times New Roman" w:eastAsia="宋体" w:cs="仿宋_GB2312"/>
          <w:color w:val="000000"/>
          <w:sz w:val="24"/>
          <w:szCs w:val="24"/>
          <w:highlight w:val="none"/>
          <w:lang w:val="en-US" w:eastAsia="zh-CN"/>
        </w:rPr>
        <w:t>该项目的成功研发打破了国外企业对高强高塑性板带钢生产关键工艺技术的长期垄断，拥有了一套完整的高强高塑性板带钢制备关键工艺与工业化稳定生产技术，成果已被推广到唐山钢铁集团有限责任公司、河钢集团衡水板业有限公司、唐山钢铁集团高强汽车板有限公司等钢铁企业，涉及冶炼、连铸、热连轧、酸洗冷轧、连续退火、热镀锌以及光整等20条生产线，该项目已获授权发明专利18项，制定团体标准2项，获得软件著作权10</w:t>
      </w:r>
      <w:r>
        <w:rPr>
          <w:rFonts w:hint="eastAsia" w:ascii="Times New Roman" w:hAnsi="Times New Roman" w:eastAsia="宋体" w:cs="仿宋_GB2312"/>
          <w:color w:val="000000"/>
          <w:sz w:val="24"/>
          <w:szCs w:val="24"/>
          <w:highlight w:val="none"/>
          <w:lang w:val="en-US" w:eastAsia="zh-CN"/>
        </w:rPr>
        <w:t>项</w:t>
      </w:r>
      <w:r>
        <w:rPr>
          <w:rFonts w:hint="default" w:ascii="Times New Roman" w:hAnsi="Times New Roman" w:eastAsia="宋体" w:cs="仿宋_GB2312"/>
          <w:color w:val="000000"/>
          <w:sz w:val="24"/>
          <w:szCs w:val="24"/>
          <w:highlight w:val="none"/>
          <w:lang w:val="en-US" w:eastAsia="zh-CN"/>
        </w:rPr>
        <w:t>。高强高塑性板带钢产品已在宝马、奔驰、比亚迪等客户批量使用，经济效益和社会效益显著。项目整体技术达到国际先进水平，其中在板形质量控制方面达到国际领先水平</w:t>
      </w:r>
      <w:r>
        <w:rPr>
          <w:rFonts w:hint="eastAsia" w:cs="仿宋_GB2312"/>
          <w:color w:val="000000"/>
          <w:sz w:val="24"/>
          <w:szCs w:val="24"/>
          <w:highlight w:val="none"/>
          <w:lang w:val="en-US" w:eastAsia="zh-CN"/>
        </w:rPr>
        <w:t>。</w:t>
      </w:r>
    </w:p>
    <w:p>
      <w:pPr>
        <w:spacing w:line="300" w:lineRule="auto"/>
        <w:rPr>
          <w:rFonts w:ascii="宋体" w:hAnsi="宋体"/>
          <w:b/>
          <w:color w:val="000000"/>
          <w:sz w:val="28"/>
          <w:szCs w:val="28"/>
        </w:rPr>
      </w:pPr>
      <w:r>
        <w:rPr>
          <w:rFonts w:hint="eastAsia" w:ascii="宋体" w:hAnsi="宋体"/>
          <w:b/>
          <w:color w:val="000000"/>
          <w:sz w:val="28"/>
          <w:szCs w:val="28"/>
        </w:rPr>
        <w:t>四、提名等级</w:t>
      </w:r>
    </w:p>
    <w:p>
      <w:pPr>
        <w:spacing w:line="300" w:lineRule="auto"/>
        <w:ind w:firstLine="480" w:firstLineChars="200"/>
        <w:jc w:val="left"/>
        <w:rPr>
          <w:rFonts w:ascii="宋体" w:hAnsi="宋体"/>
          <w:color w:val="000000"/>
          <w:sz w:val="28"/>
          <w:szCs w:val="28"/>
        </w:rPr>
      </w:pPr>
      <w:r>
        <w:rPr>
          <w:rFonts w:hint="eastAsia" w:ascii="宋体" w:hAnsi="宋体"/>
          <w:color w:val="000000"/>
          <w:sz w:val="24"/>
          <w:szCs w:val="24"/>
        </w:rPr>
        <w:t>一等奖</w:t>
      </w:r>
    </w:p>
    <w:p>
      <w:pPr>
        <w:spacing w:line="300" w:lineRule="auto"/>
        <w:rPr>
          <w:rFonts w:ascii="宋体" w:hAnsi="宋体"/>
          <w:b/>
          <w:color w:val="000000"/>
          <w:sz w:val="28"/>
          <w:szCs w:val="28"/>
        </w:rPr>
      </w:pPr>
      <w:r>
        <w:rPr>
          <w:rFonts w:hint="eastAsia" w:ascii="宋体" w:hAnsi="宋体"/>
          <w:b/>
          <w:color w:val="000000"/>
          <w:sz w:val="28"/>
          <w:szCs w:val="28"/>
        </w:rPr>
        <w:t>五、项目简介</w:t>
      </w:r>
    </w:p>
    <w:p>
      <w:pPr>
        <w:pStyle w:val="11"/>
        <w:keepNext w:val="0"/>
        <w:keepLines w:val="0"/>
        <w:pageBreakBefore w:val="0"/>
        <w:kinsoku/>
        <w:wordWrap/>
        <w:overflowPunct/>
        <w:topLinePunct w:val="0"/>
        <w:bidi w:val="0"/>
        <w:adjustRightInd/>
        <w:snapToGrid/>
        <w:spacing w:line="400" w:lineRule="atLeast"/>
        <w:ind w:firstLine="480"/>
        <w:jc w:val="both"/>
        <w:textAlignment w:val="auto"/>
        <w:rPr>
          <w:rFonts w:ascii="Times New Roman" w:hAnsi="Times New Roman" w:eastAsia="宋体" w:cs="仿宋"/>
          <w:sz w:val="24"/>
          <w:szCs w:val="24"/>
        </w:rPr>
      </w:pPr>
      <w:r>
        <w:rPr>
          <w:rFonts w:ascii="Times New Roman" w:hAnsi="Times New Roman" w:eastAsia="宋体" w:cs="仿宋"/>
          <w:sz w:val="24"/>
          <w:szCs w:val="24"/>
        </w:rPr>
        <w:t>本项目属于钢铁材料及加工制造工艺领域。</w:t>
      </w:r>
    </w:p>
    <w:p>
      <w:pPr>
        <w:pStyle w:val="11"/>
        <w:keepNext w:val="0"/>
        <w:keepLines w:val="0"/>
        <w:pageBreakBefore w:val="0"/>
        <w:kinsoku/>
        <w:wordWrap/>
        <w:overflowPunct/>
        <w:topLinePunct w:val="0"/>
        <w:bidi w:val="0"/>
        <w:adjustRightInd/>
        <w:snapToGrid/>
        <w:spacing w:line="400" w:lineRule="atLeast"/>
        <w:ind w:firstLine="480"/>
        <w:jc w:val="both"/>
        <w:textAlignment w:val="auto"/>
        <w:rPr>
          <w:rFonts w:ascii="Times New Roman" w:hAnsi="Times New Roman" w:eastAsia="宋体" w:cs="仿宋"/>
          <w:sz w:val="24"/>
          <w:szCs w:val="24"/>
        </w:rPr>
      </w:pPr>
      <w:r>
        <w:rPr>
          <w:rFonts w:ascii="Times New Roman" w:hAnsi="Times New Roman" w:eastAsia="宋体" w:cs="仿宋"/>
          <w:sz w:val="24"/>
          <w:szCs w:val="24"/>
        </w:rPr>
        <w:t>在全球汽车轻量化发展进程中，高强高塑性板带钢因具有高强度、高塑性、高成形性、低延迟开裂等优点，成为汽车车身及关键结构部件材料的首选。但与普通用钢相比，其生产工艺复杂、技术难度大、产品质量要求高，成品性能、板形及表面质量等关键指标难以满足下游客户高质量要求，且难以实现低成本批量稳定生产。为此，项目组通过企校强强联合，围绕高强高塑性板带钢合金设计、酸洗、轧制、退火、镀锌、平整及剪切等关键工序，立足高端产品与核心工艺自主研发展开理论研究与技术攻关，最终实现了机组设备能力与产品性能质量的双突破，并实现高强高塑性板带钢稳定批量供货。项目形成主要技术创新如下：</w:t>
      </w:r>
    </w:p>
    <w:p>
      <w:pPr>
        <w:pStyle w:val="11"/>
        <w:keepNext w:val="0"/>
        <w:keepLines w:val="0"/>
        <w:pageBreakBefore w:val="0"/>
        <w:kinsoku/>
        <w:wordWrap/>
        <w:overflowPunct/>
        <w:topLinePunct w:val="0"/>
        <w:bidi w:val="0"/>
        <w:adjustRightInd/>
        <w:snapToGrid/>
        <w:spacing w:line="400" w:lineRule="atLeast"/>
        <w:ind w:firstLine="480"/>
        <w:jc w:val="both"/>
        <w:textAlignment w:val="auto"/>
        <w:rPr>
          <w:rFonts w:ascii="Times New Roman" w:hAnsi="Times New Roman" w:eastAsia="宋体" w:cs="仿宋"/>
          <w:sz w:val="24"/>
          <w:szCs w:val="24"/>
        </w:rPr>
      </w:pPr>
      <w:r>
        <w:rPr>
          <w:rFonts w:ascii="Times New Roman" w:hAnsi="Times New Roman" w:eastAsia="宋体" w:cs="仿宋"/>
          <w:b w:val="0"/>
          <w:bCs w:val="0"/>
          <w:sz w:val="24"/>
          <w:szCs w:val="24"/>
        </w:rPr>
        <w:t>1.制备工艺技术及产品研发</w:t>
      </w:r>
      <w:r>
        <w:rPr>
          <w:rFonts w:hint="eastAsia" w:hAnsi="Times New Roman" w:cs="仿宋"/>
          <w:b w:val="0"/>
          <w:bCs w:val="0"/>
          <w:sz w:val="24"/>
          <w:szCs w:val="24"/>
          <w:lang w:eastAsia="zh-CN"/>
        </w:rPr>
        <w:t>：</w:t>
      </w:r>
      <w:r>
        <w:rPr>
          <w:rFonts w:ascii="Times New Roman" w:hAnsi="Times New Roman" w:eastAsia="宋体" w:cs="仿宋"/>
          <w:sz w:val="24"/>
          <w:szCs w:val="24"/>
        </w:rPr>
        <w:t>开发了低成本高强高塑性板带钢成分设计与产品力学性能稳定性协同调控技术，基于现有机组设备能力，研发出最高级别1500MPa级冷成形钢关键工艺技术及780~1180MPa级双相钢、第三代淬火配分钢等系列产品，并实现了产品性能窄范围波动控制，满足了复杂汽车零件制造的高性能要求。</w:t>
      </w:r>
    </w:p>
    <w:p>
      <w:pPr>
        <w:pStyle w:val="11"/>
        <w:keepNext w:val="0"/>
        <w:keepLines w:val="0"/>
        <w:pageBreakBefore w:val="0"/>
        <w:kinsoku/>
        <w:wordWrap/>
        <w:overflowPunct/>
        <w:topLinePunct w:val="0"/>
        <w:bidi w:val="0"/>
        <w:adjustRightInd/>
        <w:snapToGrid/>
        <w:spacing w:line="400" w:lineRule="atLeast"/>
        <w:ind w:firstLine="480"/>
        <w:jc w:val="both"/>
        <w:textAlignment w:val="auto"/>
        <w:rPr>
          <w:rFonts w:ascii="Times New Roman" w:hAnsi="Times New Roman" w:eastAsia="宋体" w:cs="仿宋"/>
          <w:sz w:val="24"/>
          <w:szCs w:val="24"/>
        </w:rPr>
      </w:pPr>
      <w:r>
        <w:rPr>
          <w:rFonts w:ascii="Times New Roman" w:hAnsi="Times New Roman" w:eastAsia="宋体" w:cs="仿宋"/>
          <w:b w:val="0"/>
          <w:bCs w:val="0"/>
          <w:sz w:val="24"/>
          <w:szCs w:val="24"/>
        </w:rPr>
        <w:t>2.冷轧-退火-热镀高质量生产</w:t>
      </w:r>
      <w:r>
        <w:rPr>
          <w:rFonts w:hint="eastAsia" w:hAnsi="Times New Roman" w:cs="仿宋"/>
          <w:b w:val="0"/>
          <w:bCs w:val="0"/>
          <w:sz w:val="24"/>
          <w:szCs w:val="24"/>
          <w:lang w:eastAsia="zh-CN"/>
        </w:rPr>
        <w:t>：</w:t>
      </w:r>
      <w:r>
        <w:rPr>
          <w:rFonts w:ascii="Times New Roman" w:hAnsi="Times New Roman" w:eastAsia="宋体" w:cs="仿宋"/>
          <w:sz w:val="24"/>
          <w:szCs w:val="24"/>
        </w:rPr>
        <w:t>研发了高强高塑性板带钢冷轧过程板厚板形综合控制工艺，</w:t>
      </w:r>
      <w:r>
        <w:rPr>
          <w:rFonts w:hint="eastAsia" w:ascii="Times New Roman" w:hAnsi="Times New Roman" w:eastAsia="宋体" w:cs="仿宋"/>
          <w:sz w:val="24"/>
          <w:szCs w:val="24"/>
          <w:lang w:val="en-US" w:eastAsia="zh-CN"/>
        </w:rPr>
        <w:t>提出了</w:t>
      </w:r>
      <w:r>
        <w:rPr>
          <w:rFonts w:ascii="Times New Roman" w:hAnsi="Times New Roman" w:eastAsia="宋体" w:cs="仿宋"/>
          <w:sz w:val="24"/>
          <w:szCs w:val="24"/>
        </w:rPr>
        <w:t>高强钢</w:t>
      </w:r>
      <w:r>
        <w:rPr>
          <w:rFonts w:hint="eastAsia" w:ascii="Times New Roman" w:hAnsi="Times New Roman" w:eastAsia="宋体" w:cs="仿宋"/>
          <w:sz w:val="24"/>
          <w:szCs w:val="24"/>
          <w:lang w:val="en-US" w:eastAsia="zh-CN"/>
        </w:rPr>
        <w:t>连续退火过程跑偏、瓢曲评价指标</w:t>
      </w:r>
      <w:r>
        <w:rPr>
          <w:rFonts w:ascii="Times New Roman" w:hAnsi="Times New Roman" w:eastAsia="宋体" w:cs="仿宋"/>
          <w:sz w:val="24"/>
          <w:szCs w:val="24"/>
        </w:rPr>
        <w:t>，</w:t>
      </w:r>
      <w:r>
        <w:rPr>
          <w:rFonts w:hint="eastAsia" w:ascii="Times New Roman" w:hAnsi="Times New Roman" w:eastAsia="宋体" w:cs="仿宋"/>
          <w:sz w:val="24"/>
          <w:szCs w:val="24"/>
          <w:lang w:val="en-US" w:eastAsia="zh-CN"/>
        </w:rPr>
        <w:t>形成了一套完整的</w:t>
      </w:r>
      <w:r>
        <w:rPr>
          <w:rFonts w:ascii="Times New Roman" w:hAnsi="Times New Roman" w:eastAsia="宋体" w:cs="仿宋"/>
          <w:sz w:val="24"/>
          <w:szCs w:val="24"/>
        </w:rPr>
        <w:t>连退过程</w:t>
      </w:r>
      <w:r>
        <w:rPr>
          <w:rFonts w:hint="eastAsia" w:ascii="Times New Roman" w:hAnsi="Times New Roman" w:eastAsia="宋体" w:cs="仿宋"/>
          <w:sz w:val="24"/>
          <w:szCs w:val="24"/>
          <w:lang w:val="en-US" w:eastAsia="zh-CN"/>
        </w:rPr>
        <w:t>带钢稳定通板与板形综合控制技术</w:t>
      </w:r>
      <w:r>
        <w:rPr>
          <w:rFonts w:ascii="Times New Roman" w:hAnsi="Times New Roman" w:eastAsia="宋体" w:cs="仿宋"/>
          <w:sz w:val="24"/>
          <w:szCs w:val="24"/>
        </w:rPr>
        <w:t>，开发了表面锌花状态控制工艺，形成了冷轧-退火-热镀过程高质量稳定生产技术，解决了高强高塑性板带钢通板稳定性与产品板形、表面缺陷等质量难题。</w:t>
      </w:r>
    </w:p>
    <w:p>
      <w:pPr>
        <w:pStyle w:val="11"/>
        <w:keepNext w:val="0"/>
        <w:keepLines w:val="0"/>
        <w:pageBreakBefore w:val="0"/>
        <w:kinsoku/>
        <w:wordWrap/>
        <w:overflowPunct/>
        <w:topLinePunct w:val="0"/>
        <w:bidi w:val="0"/>
        <w:adjustRightInd/>
        <w:snapToGrid/>
        <w:spacing w:line="400" w:lineRule="atLeast"/>
        <w:ind w:firstLine="480"/>
        <w:jc w:val="both"/>
        <w:textAlignment w:val="auto"/>
        <w:rPr>
          <w:rFonts w:ascii="Times New Roman" w:hAnsi="Times New Roman" w:eastAsia="宋体" w:cs="仿宋"/>
          <w:sz w:val="24"/>
          <w:szCs w:val="24"/>
        </w:rPr>
      </w:pPr>
      <w:r>
        <w:rPr>
          <w:rFonts w:ascii="Times New Roman" w:hAnsi="Times New Roman" w:eastAsia="宋体" w:cs="仿宋"/>
          <w:b w:val="0"/>
          <w:bCs w:val="0"/>
          <w:sz w:val="24"/>
          <w:szCs w:val="24"/>
        </w:rPr>
        <w:t>3.前后处理整体提升技术</w:t>
      </w:r>
      <w:r>
        <w:rPr>
          <w:rFonts w:hint="eastAsia" w:hAnsi="Times New Roman" w:cs="仿宋"/>
          <w:sz w:val="24"/>
          <w:szCs w:val="24"/>
          <w:lang w:eastAsia="zh-CN"/>
        </w:rPr>
        <w:t>：</w:t>
      </w:r>
      <w:r>
        <w:rPr>
          <w:rFonts w:ascii="Times New Roman" w:hAnsi="Times New Roman" w:eastAsia="宋体" w:cs="仿宋"/>
          <w:sz w:val="24"/>
          <w:szCs w:val="24"/>
        </w:rPr>
        <w:t>提出了基于紊流流场的酸洗技术，建立了平整过程轧制力、延伸率优化模型，开发了飞剪自动剪切速度控制技术与酸轧切边剪参数高精度设定与自动补偿技术，为带钢前后处理及全线连续稳定生产提供了保障。</w:t>
      </w:r>
    </w:p>
    <w:p>
      <w:pPr>
        <w:pStyle w:val="11"/>
        <w:keepNext w:val="0"/>
        <w:keepLines w:val="0"/>
        <w:pageBreakBefore w:val="0"/>
        <w:kinsoku/>
        <w:wordWrap/>
        <w:overflowPunct/>
        <w:topLinePunct w:val="0"/>
        <w:bidi w:val="0"/>
        <w:adjustRightInd/>
        <w:snapToGrid/>
        <w:spacing w:line="400" w:lineRule="atLeast"/>
        <w:ind w:firstLine="480"/>
        <w:jc w:val="both"/>
        <w:textAlignment w:val="auto"/>
        <w:rPr>
          <w:rFonts w:ascii="Times New Roman" w:hAnsi="Times New Roman" w:eastAsia="宋体" w:cs="仿宋"/>
          <w:sz w:val="24"/>
          <w:szCs w:val="24"/>
        </w:rPr>
      </w:pPr>
      <w:r>
        <w:rPr>
          <w:rFonts w:ascii="Times New Roman" w:hAnsi="Times New Roman" w:eastAsia="宋体" w:cs="仿宋"/>
          <w:sz w:val="24"/>
          <w:szCs w:val="24"/>
        </w:rPr>
        <w:t>本项目创新性成果已被应用到唐钢、衡板酸洗、冷轧、连退、镀锌及平整等20条生产单元，实现了以DP和QP系列为代表的高强高塑性板带钢高质高效、批量稳定生产。780、980、1180MPa级DP钢强度波动≤7%、8%、8%；厚度超差率≤2.15%；平整机组延伸率偏差≤1%，板形≤4I；板形封闭率≤0.48%。近三年，唐钢、衡板共新增销售额14.88亿元，新增利润1.74亿元，产品被广泛应用于宝马、奔驰、比亚迪等汽车厂家，经济和社会效益显著。该项目授权发明专利18项，发表学术论文34篇，制定标准2项，获得软著10项。经鉴定，项目整体达到国际先进水平，其中在板形质量控制方面达到国际领先水平。</w:t>
      </w:r>
    </w:p>
    <w:p>
      <w:pPr>
        <w:spacing w:line="300" w:lineRule="auto"/>
        <w:rPr>
          <w:rFonts w:hint="eastAsia" w:ascii="宋体" w:hAnsi="宋体"/>
          <w:b/>
          <w:color w:val="000000"/>
          <w:sz w:val="28"/>
          <w:szCs w:val="28"/>
        </w:rPr>
      </w:pPr>
    </w:p>
    <w:p>
      <w:pPr>
        <w:numPr>
          <w:ilvl w:val="0"/>
          <w:numId w:val="1"/>
        </w:numPr>
        <w:spacing w:line="300" w:lineRule="auto"/>
        <w:rPr>
          <w:rFonts w:hint="eastAsia" w:ascii="宋体" w:hAnsi="宋体"/>
          <w:b/>
          <w:color w:val="000000"/>
          <w:sz w:val="28"/>
          <w:szCs w:val="28"/>
        </w:rPr>
      </w:pPr>
      <w:r>
        <w:rPr>
          <w:rFonts w:hint="eastAsia" w:ascii="宋体" w:hAnsi="宋体"/>
          <w:b/>
          <w:color w:val="000000"/>
          <w:sz w:val="28"/>
          <w:szCs w:val="28"/>
        </w:rPr>
        <w:t>主要完成人情况</w:t>
      </w:r>
    </w:p>
    <w:tbl>
      <w:tblPr>
        <w:tblStyle w:val="6"/>
        <w:tblW w:w="9666"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878"/>
        <w:gridCol w:w="175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numPr>
                <w:ilvl w:val="0"/>
                <w:numId w:val="0"/>
              </w:numPr>
              <w:spacing w:line="300" w:lineRule="auto"/>
              <w:jc w:val="center"/>
              <w:rPr>
                <w:rFonts w:hint="eastAsia" w:ascii="仿宋" w:hAnsi="仿宋" w:eastAsia="仿宋" w:cs="仿宋"/>
                <w:b w:val="0"/>
                <w:bCs/>
                <w:color w:val="000000"/>
                <w:sz w:val="28"/>
                <w:szCs w:val="28"/>
                <w:vertAlign w:val="baseline"/>
                <w:lang w:val="en-US" w:eastAsia="zh-CN"/>
              </w:rPr>
            </w:pPr>
            <w:r>
              <w:rPr>
                <w:rFonts w:hint="eastAsia" w:ascii="仿宋" w:hAnsi="仿宋" w:eastAsia="仿宋" w:cs="仿宋"/>
                <w:b w:val="0"/>
                <w:bCs/>
                <w:color w:val="000000"/>
                <w:sz w:val="28"/>
                <w:szCs w:val="28"/>
                <w:vertAlign w:val="baseline"/>
                <w:lang w:val="en-US" w:eastAsia="zh-CN"/>
              </w:rPr>
              <w:t>姓名</w:t>
            </w:r>
          </w:p>
        </w:tc>
        <w:tc>
          <w:tcPr>
            <w:tcW w:w="878" w:type="dxa"/>
            <w:vAlign w:val="center"/>
          </w:tcPr>
          <w:p>
            <w:pPr>
              <w:numPr>
                <w:ilvl w:val="0"/>
                <w:numId w:val="0"/>
              </w:numPr>
              <w:spacing w:line="300" w:lineRule="auto"/>
              <w:jc w:val="center"/>
              <w:rPr>
                <w:rFonts w:hint="eastAsia" w:ascii="仿宋" w:hAnsi="仿宋" w:eastAsia="仿宋" w:cs="仿宋"/>
                <w:b w:val="0"/>
                <w:bCs/>
                <w:color w:val="000000"/>
                <w:sz w:val="28"/>
                <w:szCs w:val="28"/>
                <w:vertAlign w:val="baseline"/>
                <w:lang w:val="en-US" w:eastAsia="zh-CN"/>
              </w:rPr>
            </w:pPr>
            <w:r>
              <w:rPr>
                <w:rFonts w:hint="eastAsia" w:ascii="仿宋" w:hAnsi="仿宋" w:eastAsia="仿宋" w:cs="仿宋"/>
                <w:b w:val="0"/>
                <w:bCs/>
                <w:color w:val="000000"/>
                <w:sz w:val="28"/>
                <w:szCs w:val="28"/>
                <w:vertAlign w:val="baseline"/>
                <w:lang w:val="en-US" w:eastAsia="zh-CN"/>
              </w:rPr>
              <w:t>排名</w:t>
            </w:r>
          </w:p>
        </w:tc>
        <w:tc>
          <w:tcPr>
            <w:tcW w:w="1755" w:type="dxa"/>
            <w:vAlign w:val="center"/>
          </w:tcPr>
          <w:p>
            <w:pPr>
              <w:numPr>
                <w:ilvl w:val="0"/>
                <w:numId w:val="0"/>
              </w:numPr>
              <w:spacing w:line="300" w:lineRule="auto"/>
              <w:jc w:val="center"/>
              <w:rPr>
                <w:rFonts w:hint="eastAsia" w:ascii="仿宋" w:hAnsi="仿宋" w:eastAsia="仿宋" w:cs="仿宋"/>
                <w:b w:val="0"/>
                <w:bCs/>
                <w:color w:val="000000"/>
                <w:sz w:val="28"/>
                <w:szCs w:val="28"/>
                <w:vertAlign w:val="baseline"/>
                <w:lang w:val="en-US" w:eastAsia="zh-CN"/>
              </w:rPr>
            </w:pPr>
            <w:r>
              <w:rPr>
                <w:rFonts w:hint="eastAsia" w:ascii="仿宋" w:hAnsi="仿宋" w:eastAsia="仿宋" w:cs="仿宋"/>
                <w:b w:val="0"/>
                <w:bCs/>
                <w:color w:val="000000"/>
                <w:sz w:val="28"/>
                <w:szCs w:val="28"/>
                <w:vertAlign w:val="baseline"/>
                <w:lang w:val="en-US" w:eastAsia="zh-CN"/>
              </w:rPr>
              <w:t>工作单位</w:t>
            </w:r>
          </w:p>
        </w:tc>
        <w:tc>
          <w:tcPr>
            <w:tcW w:w="5811" w:type="dxa"/>
            <w:vAlign w:val="center"/>
          </w:tcPr>
          <w:p>
            <w:pPr>
              <w:numPr>
                <w:ilvl w:val="0"/>
                <w:numId w:val="0"/>
              </w:numPr>
              <w:spacing w:line="300" w:lineRule="auto"/>
              <w:jc w:val="center"/>
              <w:rPr>
                <w:rFonts w:hint="eastAsia" w:ascii="仿宋" w:hAnsi="仿宋" w:eastAsia="仿宋" w:cs="仿宋"/>
                <w:b w:val="0"/>
                <w:bCs/>
                <w:color w:val="000000"/>
                <w:sz w:val="28"/>
                <w:szCs w:val="28"/>
                <w:vertAlign w:val="baseline"/>
                <w:lang w:val="en-US" w:eastAsia="zh-CN"/>
              </w:rPr>
            </w:pPr>
            <w:r>
              <w:rPr>
                <w:rFonts w:hint="eastAsia" w:ascii="仿宋" w:hAnsi="仿宋" w:eastAsia="仿宋" w:cs="仿宋"/>
                <w:b w:val="0"/>
                <w:bCs/>
                <w:color w:val="000000"/>
                <w:sz w:val="28"/>
                <w:szCs w:val="28"/>
                <w:vertAlign w:val="baseline"/>
                <w:lang w:val="en-US" w:eastAsia="zh-CN"/>
              </w:rPr>
              <w:t>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numPr>
                <w:ilvl w:val="0"/>
                <w:numId w:val="0"/>
              </w:numPr>
              <w:spacing w:line="300" w:lineRule="auto"/>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王瑞</w:t>
            </w:r>
          </w:p>
        </w:tc>
        <w:tc>
          <w:tcPr>
            <w:tcW w:w="878" w:type="dxa"/>
            <w:vAlign w:val="center"/>
          </w:tcPr>
          <w:p>
            <w:pPr>
              <w:numPr>
                <w:ilvl w:val="0"/>
                <w:numId w:val="0"/>
              </w:numPr>
              <w:spacing w:line="300" w:lineRule="auto"/>
              <w:jc w:val="center"/>
              <w:rPr>
                <w:rFonts w:hint="default" w:ascii="Times New Roman" w:hAnsi="Times New Roman" w:eastAsia="仿宋" w:cs="Times New Roman"/>
                <w:b w:val="0"/>
                <w:bCs/>
                <w:color w:val="000000"/>
                <w:sz w:val="24"/>
                <w:szCs w:val="24"/>
                <w:vertAlign w:val="baseline"/>
                <w:lang w:val="en-US" w:eastAsia="zh-CN"/>
              </w:rPr>
            </w:pPr>
            <w:r>
              <w:rPr>
                <w:rFonts w:hint="default" w:ascii="Times New Roman" w:hAnsi="Times New Roman" w:eastAsia="仿宋" w:cs="Times New Roman"/>
                <w:b w:val="0"/>
                <w:bCs/>
                <w:color w:val="000000"/>
                <w:sz w:val="24"/>
                <w:szCs w:val="24"/>
                <w:vertAlign w:val="baseline"/>
                <w:lang w:val="en-US" w:eastAsia="zh-CN"/>
              </w:rPr>
              <w:t>1</w:t>
            </w:r>
          </w:p>
        </w:tc>
        <w:tc>
          <w:tcPr>
            <w:tcW w:w="1755" w:type="dxa"/>
            <w:vAlign w:val="center"/>
          </w:tcPr>
          <w:p>
            <w:pPr>
              <w:numPr>
                <w:ilvl w:val="0"/>
                <w:numId w:val="0"/>
              </w:numPr>
              <w:spacing w:line="300" w:lineRule="auto"/>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山东科技大学</w:t>
            </w:r>
          </w:p>
        </w:tc>
        <w:tc>
          <w:tcPr>
            <w:tcW w:w="581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val="0"/>
                <w:bCs/>
                <w:color w:val="000000"/>
                <w:sz w:val="28"/>
                <w:szCs w:val="28"/>
                <w:vertAlign w:val="baseline"/>
              </w:rPr>
            </w:pPr>
            <w:r>
              <w:rPr>
                <w:rFonts w:hint="default" w:ascii="Times New Roman" w:hAnsi="Times New Roman" w:eastAsia="仿宋" w:cs="Times New Roman"/>
                <w:sz w:val="24"/>
                <w:szCs w:val="24"/>
                <w:lang w:val="en-US" w:eastAsia="zh-CN"/>
              </w:rPr>
              <w:t>(1)</w:t>
            </w:r>
            <w:r>
              <w:rPr>
                <w:rFonts w:hint="eastAsia" w:ascii="仿宋" w:hAnsi="仿宋" w:eastAsia="仿宋" w:cs="仿宋"/>
                <w:sz w:val="24"/>
                <w:szCs w:val="24"/>
              </w:rPr>
              <w:t>山东科技大学全面参与高强高塑性板带钢制备关键工艺与工业化稳定生产技术开发及应用项目的研发工作，建立了连退过程炉辊粗糙度衰减模型与张力补偿技术，开发了连退过程稳定通板及表面质量综合控制技术。</w:t>
            </w:r>
            <w:r>
              <w:rPr>
                <w:rFonts w:hint="eastAsia" w:ascii="Times New Roman" w:hAnsi="Times New Roman" w:eastAsia="仿宋" w:cs="Times New Roman"/>
                <w:sz w:val="24"/>
                <w:szCs w:val="24"/>
                <w:lang w:val="en-US" w:eastAsia="zh-CN"/>
              </w:rPr>
              <w:t>(2)</w:t>
            </w:r>
            <w:r>
              <w:rPr>
                <w:rFonts w:hint="eastAsia" w:ascii="仿宋" w:hAnsi="仿宋" w:eastAsia="仿宋" w:cs="仿宋"/>
                <w:sz w:val="24"/>
                <w:szCs w:val="24"/>
              </w:rPr>
              <w:t>全面参与该产品的制备与稳定化生产工艺匹配设计，对本项目技术创造性贡献主要体现在创新点</w:t>
            </w:r>
            <w:r>
              <w:rPr>
                <w:rFonts w:hint="eastAsia" w:ascii="Times New Roman" w:hAnsi="Times New Roman" w:eastAsia="仿宋" w:cs="Times New Roman"/>
                <w:sz w:val="24"/>
                <w:szCs w:val="24"/>
                <w:lang w:val="en-US" w:eastAsia="zh-CN"/>
              </w:rPr>
              <w:t>1、2。</w:t>
            </w:r>
            <w:r>
              <w:rPr>
                <w:rFonts w:hint="eastAsia" w:ascii="仿宋" w:hAnsi="仿宋" w:eastAsia="仿宋" w:cs="仿宋"/>
                <w:sz w:val="24"/>
                <w:szCs w:val="24"/>
              </w:rPr>
              <w:t>在国内重要期刊发表学术论文</w:t>
            </w:r>
            <w:r>
              <w:rPr>
                <w:rFonts w:hint="eastAsia" w:ascii="Times New Roman" w:hAnsi="Times New Roman" w:eastAsia="仿宋" w:cs="Times New Roman"/>
                <w:sz w:val="24"/>
                <w:szCs w:val="24"/>
                <w:lang w:val="en-US" w:eastAsia="zh-CN"/>
              </w:rPr>
              <w:t>12</w:t>
            </w:r>
            <w:r>
              <w:rPr>
                <w:rFonts w:hint="eastAsia" w:ascii="仿宋" w:hAnsi="仿宋" w:eastAsia="仿宋" w:cs="仿宋"/>
                <w:sz w:val="24"/>
                <w:szCs w:val="24"/>
              </w:rPr>
              <w:t>篇，授权发明专利</w:t>
            </w:r>
            <w:r>
              <w:rPr>
                <w:rFonts w:hint="eastAsia" w:ascii="Times New Roman" w:hAnsi="Times New Roman" w:eastAsia="仿宋" w:cs="Times New Roman"/>
                <w:sz w:val="24"/>
                <w:szCs w:val="24"/>
                <w:lang w:val="en-US" w:eastAsia="zh-CN"/>
              </w:rPr>
              <w:t>8</w:t>
            </w:r>
            <w:r>
              <w:rPr>
                <w:rFonts w:hint="eastAsia" w:ascii="仿宋" w:hAnsi="仿宋" w:eastAsia="仿宋" w:cs="仿宋"/>
                <w:sz w:val="24"/>
                <w:szCs w:val="24"/>
              </w:rPr>
              <w:t>项，软件著作权</w:t>
            </w:r>
            <w:r>
              <w:rPr>
                <w:rFonts w:hint="eastAsia" w:ascii="Times New Roman" w:hAnsi="Times New Roman" w:eastAsia="仿宋" w:cs="Times New Roman"/>
                <w:sz w:val="24"/>
                <w:szCs w:val="24"/>
                <w:lang w:val="en-US" w:eastAsia="zh-CN"/>
              </w:rPr>
              <w:t>5</w:t>
            </w: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numPr>
                <w:ilvl w:val="0"/>
                <w:numId w:val="0"/>
              </w:numPr>
              <w:spacing w:line="300" w:lineRule="auto"/>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刘靖宝</w:t>
            </w:r>
          </w:p>
        </w:tc>
        <w:tc>
          <w:tcPr>
            <w:tcW w:w="878" w:type="dxa"/>
            <w:vAlign w:val="center"/>
          </w:tcPr>
          <w:p>
            <w:pPr>
              <w:numPr>
                <w:ilvl w:val="0"/>
                <w:numId w:val="0"/>
              </w:numPr>
              <w:spacing w:line="300" w:lineRule="auto"/>
              <w:jc w:val="center"/>
              <w:rPr>
                <w:rFonts w:hint="default" w:ascii="Times New Roman" w:hAnsi="Times New Roman" w:eastAsia="仿宋" w:cs="Times New Roman"/>
                <w:b w:val="0"/>
                <w:bCs/>
                <w:color w:val="000000"/>
                <w:sz w:val="24"/>
                <w:szCs w:val="24"/>
                <w:vertAlign w:val="baseline"/>
                <w:lang w:val="en-US" w:eastAsia="zh-CN"/>
              </w:rPr>
            </w:pPr>
            <w:r>
              <w:rPr>
                <w:rFonts w:hint="default" w:ascii="Times New Roman" w:hAnsi="Times New Roman" w:eastAsia="仿宋" w:cs="Times New Roman"/>
                <w:b w:val="0"/>
                <w:bCs/>
                <w:color w:val="000000"/>
                <w:sz w:val="24"/>
                <w:szCs w:val="24"/>
                <w:vertAlign w:val="baseline"/>
                <w:lang w:val="en-US" w:eastAsia="zh-CN"/>
              </w:rPr>
              <w:t>2</w:t>
            </w:r>
          </w:p>
        </w:tc>
        <w:tc>
          <w:tcPr>
            <w:tcW w:w="1755" w:type="dxa"/>
            <w:vAlign w:val="center"/>
          </w:tcPr>
          <w:p>
            <w:pPr>
              <w:numPr>
                <w:ilvl w:val="0"/>
                <w:numId w:val="0"/>
              </w:numPr>
              <w:spacing w:line="300" w:lineRule="auto"/>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唐山钢铁集团有限公司</w:t>
            </w:r>
          </w:p>
        </w:tc>
        <w:tc>
          <w:tcPr>
            <w:tcW w:w="581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val="0"/>
                <w:bCs/>
                <w:color w:val="000000"/>
                <w:sz w:val="28"/>
                <w:szCs w:val="28"/>
                <w:vertAlign w:val="baseline"/>
              </w:rPr>
            </w:pPr>
            <w:r>
              <w:rPr>
                <w:rFonts w:hint="eastAsia" w:ascii="Times New Roman" w:hAnsi="Times New Roman" w:eastAsia="仿宋" w:cs="Times New Roman"/>
                <w:sz w:val="24"/>
                <w:szCs w:val="24"/>
                <w:lang w:val="en-US" w:eastAsia="zh-CN"/>
              </w:rPr>
              <w:t>(1)</w:t>
            </w:r>
            <w:r>
              <w:rPr>
                <w:rFonts w:hint="eastAsia" w:ascii="仿宋" w:hAnsi="仿宋" w:eastAsia="仿宋" w:cs="仿宋"/>
                <w:sz w:val="24"/>
                <w:szCs w:val="24"/>
                <w:lang w:val="en-US" w:eastAsia="zh-CN"/>
              </w:rPr>
              <w:t>负责</w:t>
            </w:r>
            <w:r>
              <w:rPr>
                <w:rFonts w:hint="eastAsia" w:ascii="仿宋" w:hAnsi="仿宋" w:eastAsia="仿宋" w:cs="仿宋"/>
                <w:sz w:val="24"/>
                <w:szCs w:val="24"/>
              </w:rPr>
              <w:t>高强高塑性板带钢制备工艺技术及产品研发，研发了基于DP钢合金体系的工艺匹配设计技术，开发了</w:t>
            </w:r>
            <w:r>
              <w:rPr>
                <w:rFonts w:hint="eastAsia" w:ascii="Times New Roman" w:hAnsi="Times New Roman" w:eastAsia="仿宋" w:cs="Times New Roman"/>
                <w:sz w:val="24"/>
                <w:szCs w:val="24"/>
                <w:lang w:val="en-US" w:eastAsia="zh-CN"/>
              </w:rPr>
              <w:t>QP</w:t>
            </w:r>
            <w:r>
              <w:rPr>
                <w:rFonts w:hint="eastAsia" w:ascii="仿宋" w:hAnsi="仿宋" w:eastAsia="仿宋" w:cs="仿宋"/>
                <w:sz w:val="24"/>
                <w:szCs w:val="24"/>
              </w:rPr>
              <w:t>钢退火工艺制度。对本项目技术创造性贡献主要体现在创新点</w:t>
            </w:r>
            <w:r>
              <w:rPr>
                <w:rFonts w:hint="eastAsia" w:ascii="Times New Roman" w:hAnsi="Times New Roman" w:eastAsia="仿宋" w:cs="Times New Roman"/>
                <w:sz w:val="24"/>
                <w:szCs w:val="24"/>
                <w:lang w:val="en-US" w:eastAsia="zh-CN"/>
              </w:rPr>
              <w:t>1、2</w:t>
            </w:r>
            <w:r>
              <w:rPr>
                <w:rFonts w:hint="eastAsia" w:ascii="仿宋" w:hAnsi="仿宋" w:eastAsia="仿宋" w:cs="仿宋"/>
                <w:sz w:val="24"/>
                <w:szCs w:val="24"/>
              </w:rPr>
              <w:t>，被授权发明专利</w:t>
            </w:r>
            <w:r>
              <w:rPr>
                <w:rFonts w:hint="eastAsia" w:ascii="Times New Roman" w:hAnsi="Times New Roman" w:eastAsia="仿宋" w:cs="Times New Roman"/>
                <w:sz w:val="24"/>
                <w:szCs w:val="24"/>
                <w:lang w:val="en-US" w:eastAsia="zh-CN"/>
              </w:rPr>
              <w:t>10</w:t>
            </w:r>
            <w:r>
              <w:rPr>
                <w:rFonts w:hint="eastAsia" w:ascii="仿宋" w:hAnsi="仿宋" w:eastAsia="仿宋" w:cs="仿宋"/>
                <w:sz w:val="24"/>
                <w:szCs w:val="24"/>
              </w:rPr>
              <w:t>项，发表学术论文</w:t>
            </w:r>
            <w:r>
              <w:rPr>
                <w:rFonts w:hint="eastAsia" w:ascii="Times New Roman" w:hAnsi="Times New Roman" w:eastAsia="仿宋" w:cs="Times New Roman"/>
                <w:sz w:val="24"/>
                <w:szCs w:val="24"/>
                <w:lang w:val="en-US" w:eastAsia="zh-CN"/>
              </w:rPr>
              <w:t>8</w:t>
            </w:r>
            <w:r>
              <w:rPr>
                <w:rFonts w:hint="eastAsia" w:ascii="仿宋" w:hAnsi="仿宋" w:eastAsia="仿宋" w:cs="仿宋"/>
                <w:sz w:val="24"/>
                <w:szCs w:val="24"/>
              </w:rPr>
              <w:t>篇</w:t>
            </w:r>
            <w:r>
              <w:rPr>
                <w:rFonts w:hint="eastAsia" w:ascii="Times New Roman" w:hAnsi="Times New Roman" w:eastAsia="仿宋" w:cs="Times New Roman"/>
                <w:sz w:val="24"/>
                <w:szCs w:val="24"/>
                <w:lang w:val="en-US" w:eastAsia="zh-CN"/>
              </w:rPr>
              <w:t>。(2)</w:t>
            </w:r>
            <w:r>
              <w:rPr>
                <w:rFonts w:hint="eastAsia" w:ascii="仿宋" w:hAnsi="仿宋" w:eastAsia="仿宋" w:cs="仿宋"/>
                <w:sz w:val="24"/>
                <w:szCs w:val="24"/>
              </w:rPr>
              <w:t>唐山钢铁集团有限责任公司全面负责本项目的实验室研究、工业试验、产品性能评价、稳定化批量生产的组织与实施。本项目技术全面在唐钢</w:t>
            </w:r>
            <w:r>
              <w:rPr>
                <w:rFonts w:hint="eastAsia" w:ascii="Times New Roman" w:hAnsi="Times New Roman" w:eastAsia="仿宋" w:cs="Times New Roman"/>
                <w:sz w:val="24"/>
                <w:szCs w:val="24"/>
                <w:lang w:val="en-US" w:eastAsia="zh-CN"/>
              </w:rPr>
              <w:t>20</w:t>
            </w:r>
            <w:r>
              <w:rPr>
                <w:rFonts w:hint="eastAsia" w:ascii="仿宋" w:hAnsi="仿宋" w:eastAsia="仿宋" w:cs="仿宋"/>
                <w:sz w:val="24"/>
                <w:szCs w:val="24"/>
              </w:rPr>
              <w:t>条生产单元应用，取得了显著的应用效果与效益。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numPr>
                <w:ilvl w:val="0"/>
                <w:numId w:val="0"/>
              </w:numPr>
              <w:spacing w:line="300" w:lineRule="auto"/>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李学通</w:t>
            </w:r>
          </w:p>
        </w:tc>
        <w:tc>
          <w:tcPr>
            <w:tcW w:w="878" w:type="dxa"/>
            <w:vAlign w:val="center"/>
          </w:tcPr>
          <w:p>
            <w:pPr>
              <w:numPr>
                <w:ilvl w:val="0"/>
                <w:numId w:val="0"/>
              </w:numPr>
              <w:spacing w:line="300" w:lineRule="auto"/>
              <w:jc w:val="center"/>
              <w:rPr>
                <w:rFonts w:hint="default" w:ascii="Times New Roman" w:hAnsi="Times New Roman" w:eastAsia="仿宋" w:cs="Times New Roman"/>
                <w:b w:val="0"/>
                <w:bCs/>
                <w:color w:val="000000"/>
                <w:sz w:val="24"/>
                <w:szCs w:val="24"/>
                <w:vertAlign w:val="baseline"/>
                <w:lang w:val="en-US" w:eastAsia="zh-CN"/>
              </w:rPr>
            </w:pPr>
            <w:r>
              <w:rPr>
                <w:rFonts w:hint="default" w:ascii="Times New Roman" w:hAnsi="Times New Roman" w:eastAsia="仿宋" w:cs="Times New Roman"/>
                <w:b w:val="0"/>
                <w:bCs/>
                <w:color w:val="000000"/>
                <w:sz w:val="24"/>
                <w:szCs w:val="24"/>
                <w:vertAlign w:val="baseline"/>
                <w:lang w:val="en-US" w:eastAsia="zh-CN"/>
              </w:rPr>
              <w:t>3</w:t>
            </w:r>
          </w:p>
        </w:tc>
        <w:tc>
          <w:tcPr>
            <w:tcW w:w="1755" w:type="dxa"/>
            <w:vAlign w:val="center"/>
          </w:tcPr>
          <w:p>
            <w:pPr>
              <w:numPr>
                <w:ilvl w:val="0"/>
                <w:numId w:val="0"/>
              </w:numPr>
              <w:spacing w:line="300" w:lineRule="auto"/>
              <w:jc w:val="center"/>
              <w:rPr>
                <w:rFonts w:hint="eastAsia" w:ascii="仿宋" w:hAnsi="仿宋" w:eastAsia="仿宋" w:cs="仿宋"/>
                <w:b w:val="0"/>
                <w:bCs/>
                <w:color w:val="000000"/>
                <w:sz w:val="24"/>
                <w:szCs w:val="24"/>
                <w:vertAlign w:val="baseline"/>
              </w:rPr>
            </w:pPr>
            <w:r>
              <w:rPr>
                <w:rFonts w:hint="eastAsia" w:ascii="仿宋" w:hAnsi="仿宋" w:eastAsia="仿宋" w:cs="仿宋"/>
                <w:b w:val="0"/>
                <w:bCs/>
                <w:color w:val="000000"/>
                <w:sz w:val="24"/>
                <w:szCs w:val="24"/>
                <w:vertAlign w:val="baseline"/>
                <w:lang w:val="en-US" w:eastAsia="zh-CN"/>
              </w:rPr>
              <w:t>燕山大学</w:t>
            </w:r>
          </w:p>
        </w:tc>
        <w:tc>
          <w:tcPr>
            <w:tcW w:w="581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val="0"/>
                <w:bCs/>
                <w:color w:val="000000"/>
                <w:sz w:val="28"/>
                <w:szCs w:val="28"/>
                <w:vertAlign w:val="baseline"/>
                <w:lang w:val="en-US" w:eastAsia="zh-CN"/>
              </w:rPr>
            </w:pPr>
            <w:r>
              <w:rPr>
                <w:rFonts w:hint="eastAsia" w:ascii="Times New Roman" w:hAnsi="Times New Roman" w:eastAsia="仿宋" w:cs="Times New Roman"/>
                <w:sz w:val="24"/>
                <w:szCs w:val="24"/>
                <w:lang w:val="en-US" w:eastAsia="zh-CN"/>
              </w:rPr>
              <w:t>(1)</w:t>
            </w:r>
            <w:r>
              <w:rPr>
                <w:rFonts w:hint="eastAsia" w:ascii="仿宋" w:hAnsi="仿宋" w:eastAsia="仿宋" w:cs="仿宋"/>
                <w:sz w:val="24"/>
                <w:szCs w:val="24"/>
              </w:rPr>
              <w:t>负责冷轧前后处理整体提升技术的开发，对本项目技术创造性贡献主要体现在创新点</w:t>
            </w:r>
            <w:r>
              <w:rPr>
                <w:rFonts w:hint="eastAsia" w:ascii="Times New Roman" w:hAnsi="Times New Roman" w:eastAsia="仿宋" w:cs="Times New Roman"/>
                <w:sz w:val="24"/>
                <w:szCs w:val="24"/>
                <w:lang w:val="en-US" w:eastAsia="zh-CN"/>
              </w:rPr>
              <w:t>3</w:t>
            </w:r>
            <w:r>
              <w:rPr>
                <w:rFonts w:hint="eastAsia" w:ascii="仿宋" w:hAnsi="仿宋" w:eastAsia="仿宋" w:cs="仿宋"/>
                <w:sz w:val="24"/>
                <w:szCs w:val="24"/>
              </w:rPr>
              <w:t>。发表学术论文</w:t>
            </w:r>
            <w:r>
              <w:rPr>
                <w:rFonts w:hint="eastAsia" w:ascii="Times New Roman" w:hAnsi="Times New Roman" w:eastAsia="仿宋" w:cs="Times New Roman"/>
                <w:sz w:val="24"/>
                <w:szCs w:val="24"/>
                <w:lang w:val="en-US" w:eastAsia="zh-CN"/>
              </w:rPr>
              <w:t>2</w:t>
            </w:r>
            <w:r>
              <w:rPr>
                <w:rFonts w:hint="eastAsia" w:ascii="仿宋" w:hAnsi="仿宋" w:eastAsia="仿宋" w:cs="仿宋"/>
                <w:sz w:val="24"/>
                <w:szCs w:val="24"/>
              </w:rPr>
              <w:t>篇，授权发明专利</w:t>
            </w:r>
            <w:r>
              <w:rPr>
                <w:rFonts w:hint="eastAsia" w:ascii="Times New Roman" w:hAnsi="Times New Roman" w:eastAsia="仿宋" w:cs="Times New Roman"/>
                <w:sz w:val="24"/>
                <w:szCs w:val="24"/>
                <w:lang w:val="en-US" w:eastAsia="zh-CN"/>
              </w:rPr>
              <w:t>2</w:t>
            </w:r>
            <w:r>
              <w:rPr>
                <w:rFonts w:hint="eastAsia" w:ascii="仿宋" w:hAnsi="仿宋" w:eastAsia="仿宋" w:cs="仿宋"/>
                <w:sz w:val="24"/>
                <w:szCs w:val="24"/>
              </w:rPr>
              <w:t>项，获得软件著作权</w:t>
            </w:r>
            <w:r>
              <w:rPr>
                <w:rFonts w:hint="eastAsia" w:ascii="Times New Roman" w:hAnsi="Times New Roman" w:eastAsia="仿宋" w:cs="Times New Roman"/>
                <w:sz w:val="24"/>
                <w:szCs w:val="24"/>
                <w:lang w:val="en-US" w:eastAsia="zh-CN"/>
              </w:rPr>
              <w:t>4</w:t>
            </w:r>
            <w:r>
              <w:rPr>
                <w:rFonts w:hint="eastAsia" w:ascii="仿宋" w:hAnsi="仿宋" w:eastAsia="仿宋" w:cs="仿宋"/>
                <w:sz w:val="24"/>
                <w:szCs w:val="24"/>
              </w:rPr>
              <w:t>项。</w:t>
            </w:r>
            <w:r>
              <w:rPr>
                <w:rFonts w:hint="eastAsia" w:ascii="Times New Roman" w:hAnsi="Times New Roman" w:eastAsia="仿宋" w:cs="Times New Roman"/>
                <w:sz w:val="24"/>
                <w:szCs w:val="24"/>
                <w:lang w:val="en-US" w:eastAsia="zh-CN"/>
              </w:rPr>
              <w:t>(2)</w:t>
            </w:r>
            <w:r>
              <w:rPr>
                <w:rFonts w:hint="eastAsia" w:ascii="仿宋" w:hAnsi="仿宋" w:eastAsia="仿宋" w:cs="仿宋"/>
                <w:sz w:val="24"/>
                <w:szCs w:val="24"/>
              </w:rPr>
              <w:t>研发了冷轧过程厚度综合控制技术，提出了基于紊流流场和温度场分析的酸槽结构优化方法，建立了平整过程轧制力、延伸率以及轧辊原始粗糙度优化模型，解决了高强高塑性板带钢表面缺陷及头尾厚度超差的难题</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numPr>
                <w:ilvl w:val="0"/>
                <w:numId w:val="0"/>
              </w:numPr>
              <w:spacing w:line="300" w:lineRule="auto"/>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刘亚星</w:t>
            </w:r>
          </w:p>
        </w:tc>
        <w:tc>
          <w:tcPr>
            <w:tcW w:w="878" w:type="dxa"/>
            <w:vAlign w:val="center"/>
          </w:tcPr>
          <w:p>
            <w:pPr>
              <w:numPr>
                <w:ilvl w:val="0"/>
                <w:numId w:val="0"/>
              </w:numPr>
              <w:spacing w:line="300" w:lineRule="auto"/>
              <w:jc w:val="center"/>
              <w:rPr>
                <w:rFonts w:hint="default" w:ascii="Times New Roman" w:hAnsi="Times New Roman" w:eastAsia="仿宋" w:cs="Times New Roman"/>
                <w:b w:val="0"/>
                <w:bCs/>
                <w:color w:val="000000"/>
                <w:sz w:val="24"/>
                <w:szCs w:val="24"/>
                <w:vertAlign w:val="baseline"/>
                <w:lang w:val="en-US" w:eastAsia="zh-CN"/>
              </w:rPr>
            </w:pPr>
            <w:r>
              <w:rPr>
                <w:rFonts w:hint="default" w:ascii="Times New Roman" w:hAnsi="Times New Roman" w:eastAsia="仿宋" w:cs="Times New Roman"/>
                <w:b w:val="0"/>
                <w:bCs/>
                <w:color w:val="000000"/>
                <w:sz w:val="24"/>
                <w:szCs w:val="24"/>
                <w:vertAlign w:val="baseline"/>
                <w:lang w:val="en-US" w:eastAsia="zh-CN"/>
              </w:rPr>
              <w:t>4</w:t>
            </w:r>
          </w:p>
        </w:tc>
        <w:tc>
          <w:tcPr>
            <w:tcW w:w="1755" w:type="dxa"/>
            <w:vAlign w:val="center"/>
          </w:tcPr>
          <w:p>
            <w:pPr>
              <w:numPr>
                <w:ilvl w:val="0"/>
                <w:numId w:val="0"/>
              </w:numPr>
              <w:spacing w:line="300" w:lineRule="auto"/>
              <w:jc w:val="center"/>
              <w:rPr>
                <w:rFonts w:hint="eastAsia" w:ascii="仿宋" w:hAnsi="仿宋" w:eastAsia="仿宋" w:cs="仿宋"/>
                <w:b w:val="0"/>
                <w:bCs/>
                <w:color w:val="000000"/>
                <w:sz w:val="28"/>
                <w:szCs w:val="28"/>
                <w:vertAlign w:val="baseline"/>
              </w:rPr>
            </w:pPr>
            <w:r>
              <w:rPr>
                <w:rFonts w:hint="eastAsia" w:ascii="仿宋" w:hAnsi="仿宋" w:eastAsia="仿宋" w:cs="仿宋"/>
                <w:kern w:val="0"/>
                <w:sz w:val="24"/>
              </w:rPr>
              <w:t>海安太原理工大学先进制造与智能装备产业研究院</w:t>
            </w:r>
          </w:p>
        </w:tc>
        <w:tc>
          <w:tcPr>
            <w:tcW w:w="581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val="0"/>
                <w:bCs/>
                <w:color w:val="000000"/>
                <w:sz w:val="28"/>
                <w:szCs w:val="28"/>
                <w:vertAlign w:val="baseline"/>
              </w:rPr>
            </w:pPr>
            <w:r>
              <w:rPr>
                <w:rFonts w:hint="eastAsia" w:ascii="Times New Roman" w:hAnsi="Times New Roman" w:eastAsia="仿宋" w:cs="Times New Roman"/>
                <w:sz w:val="24"/>
                <w:szCs w:val="24"/>
                <w:lang w:val="en-US" w:eastAsia="zh-CN"/>
              </w:rPr>
              <w:t>(1)</w:t>
            </w:r>
            <w:r>
              <w:rPr>
                <w:rFonts w:hint="eastAsia" w:ascii="仿宋" w:hAnsi="仿宋" w:eastAsia="仿宋" w:cs="仿宋"/>
                <w:sz w:val="24"/>
                <w:szCs w:val="24"/>
              </w:rPr>
              <w:t>负责轧制过程板形控制技术的开发，在本项目中投入工作量占本人工作总量的</w:t>
            </w:r>
            <w:r>
              <w:rPr>
                <w:rFonts w:hint="eastAsia" w:ascii="Times New Roman" w:hAnsi="Times New Roman" w:eastAsia="仿宋" w:cs="Times New Roman"/>
                <w:sz w:val="24"/>
                <w:szCs w:val="24"/>
                <w:lang w:val="en-US" w:eastAsia="zh-CN"/>
              </w:rPr>
              <w:t>70%</w:t>
            </w:r>
            <w:r>
              <w:rPr>
                <w:rFonts w:hint="eastAsia" w:ascii="仿宋" w:hAnsi="仿宋" w:eastAsia="仿宋" w:cs="仿宋"/>
                <w:sz w:val="24"/>
                <w:szCs w:val="24"/>
              </w:rPr>
              <w:t>。对本项目技术创造性贡献主要体现在创新点</w:t>
            </w:r>
            <w:r>
              <w:rPr>
                <w:rFonts w:hint="eastAsia" w:ascii="Times New Roman" w:hAnsi="Times New Roman" w:eastAsia="仿宋" w:cs="Times New Roman"/>
                <w:sz w:val="24"/>
                <w:szCs w:val="24"/>
                <w:lang w:val="en-US" w:eastAsia="zh-CN"/>
              </w:rPr>
              <w:t>2</w:t>
            </w:r>
            <w:r>
              <w:rPr>
                <w:rFonts w:hint="eastAsia" w:ascii="仿宋" w:hAnsi="仿宋" w:eastAsia="仿宋" w:cs="仿宋"/>
                <w:sz w:val="24"/>
                <w:szCs w:val="24"/>
              </w:rPr>
              <w:t>。发表学术论文</w:t>
            </w:r>
            <w:r>
              <w:rPr>
                <w:rFonts w:hint="eastAsia" w:ascii="Times New Roman" w:hAnsi="Times New Roman" w:eastAsia="仿宋" w:cs="Times New Roman"/>
                <w:sz w:val="24"/>
                <w:szCs w:val="24"/>
                <w:lang w:val="en-US" w:eastAsia="zh-CN"/>
              </w:rPr>
              <w:t>2</w:t>
            </w:r>
            <w:r>
              <w:rPr>
                <w:rFonts w:hint="eastAsia" w:ascii="仿宋" w:hAnsi="仿宋" w:eastAsia="仿宋" w:cs="仿宋"/>
                <w:sz w:val="24"/>
                <w:szCs w:val="24"/>
              </w:rPr>
              <w:t>篇。</w:t>
            </w:r>
            <w:r>
              <w:rPr>
                <w:rFonts w:hint="eastAsia" w:ascii="Times New Roman" w:hAnsi="Times New Roman" w:eastAsia="仿宋" w:cs="Times New Roman"/>
                <w:sz w:val="24"/>
                <w:szCs w:val="24"/>
                <w:lang w:val="en-US" w:eastAsia="zh-CN"/>
              </w:rPr>
              <w:t>(2)</w:t>
            </w:r>
            <w:r>
              <w:rPr>
                <w:rFonts w:hint="eastAsia" w:ascii="仿宋" w:hAnsi="仿宋" w:eastAsia="仿宋" w:cs="仿宋"/>
                <w:sz w:val="24"/>
                <w:szCs w:val="24"/>
              </w:rPr>
              <w:t>建立了平整过程轧制力、延伸率以及轧辊原始粗糙度优化模型，提出了飞剪自动剪切速度控制方法，开发了具有自动补偿功能的高精度酸轧切边剪参数设定技术，提升了高强高塑性板带钢前后处理过程稳定性。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numPr>
                <w:ilvl w:val="0"/>
                <w:numId w:val="0"/>
              </w:numPr>
              <w:spacing w:line="300" w:lineRule="auto"/>
              <w:jc w:val="center"/>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田真真</w:t>
            </w:r>
          </w:p>
        </w:tc>
        <w:tc>
          <w:tcPr>
            <w:tcW w:w="878" w:type="dxa"/>
            <w:vAlign w:val="center"/>
          </w:tcPr>
          <w:p>
            <w:pPr>
              <w:numPr>
                <w:ilvl w:val="0"/>
                <w:numId w:val="0"/>
              </w:numPr>
              <w:spacing w:line="300" w:lineRule="auto"/>
              <w:jc w:val="center"/>
              <w:rPr>
                <w:rFonts w:hint="default" w:ascii="Times New Roman" w:hAnsi="Times New Roman" w:eastAsia="仿宋" w:cs="Times New Roman"/>
                <w:b w:val="0"/>
                <w:bCs/>
                <w:color w:val="000000"/>
                <w:sz w:val="24"/>
                <w:szCs w:val="24"/>
                <w:vertAlign w:val="baseline"/>
                <w:lang w:val="en-US" w:eastAsia="zh-CN"/>
              </w:rPr>
            </w:pPr>
            <w:r>
              <w:rPr>
                <w:rFonts w:hint="default" w:ascii="Times New Roman" w:hAnsi="Times New Roman" w:eastAsia="仿宋" w:cs="Times New Roman"/>
                <w:b w:val="0"/>
                <w:bCs/>
                <w:color w:val="000000"/>
                <w:sz w:val="24"/>
                <w:szCs w:val="24"/>
                <w:vertAlign w:val="baseline"/>
                <w:lang w:val="en-US" w:eastAsia="zh-CN"/>
              </w:rPr>
              <w:t>5</w:t>
            </w:r>
          </w:p>
        </w:tc>
        <w:tc>
          <w:tcPr>
            <w:tcW w:w="1755" w:type="dxa"/>
            <w:vAlign w:val="center"/>
          </w:tcPr>
          <w:p>
            <w:pPr>
              <w:numPr>
                <w:ilvl w:val="0"/>
                <w:numId w:val="0"/>
              </w:numPr>
              <w:spacing w:line="300" w:lineRule="auto"/>
              <w:jc w:val="center"/>
              <w:rPr>
                <w:rFonts w:hint="eastAsia" w:ascii="仿宋" w:hAnsi="仿宋" w:eastAsia="仿宋" w:cs="仿宋"/>
                <w:b w:val="0"/>
                <w:bCs/>
                <w:color w:val="000000"/>
                <w:sz w:val="28"/>
                <w:szCs w:val="28"/>
                <w:vertAlign w:val="baseline"/>
              </w:rPr>
            </w:pPr>
            <w:r>
              <w:rPr>
                <w:rFonts w:hint="eastAsia" w:ascii="仿宋" w:hAnsi="仿宋" w:eastAsia="仿宋" w:cs="仿宋"/>
                <w:kern w:val="0"/>
                <w:sz w:val="24"/>
              </w:rPr>
              <w:t>青岛磨锤塑冶科技有限公司</w:t>
            </w:r>
          </w:p>
        </w:tc>
        <w:tc>
          <w:tcPr>
            <w:tcW w:w="581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val="0"/>
                <w:bCs/>
                <w:color w:val="000000"/>
                <w:sz w:val="28"/>
                <w:szCs w:val="28"/>
                <w:vertAlign w:val="baseline"/>
              </w:rPr>
            </w:pPr>
            <w:r>
              <w:rPr>
                <w:rFonts w:hint="eastAsia" w:ascii="Times New Roman" w:hAnsi="Times New Roman" w:eastAsia="仿宋" w:cs="Times New Roman"/>
                <w:sz w:val="24"/>
                <w:szCs w:val="24"/>
                <w:lang w:val="en-US" w:eastAsia="zh-CN"/>
              </w:rPr>
              <w:t>(1)</w:t>
            </w:r>
            <w:r>
              <w:rPr>
                <w:rFonts w:hint="eastAsia" w:ascii="仿宋" w:hAnsi="仿宋" w:eastAsia="仿宋" w:cs="仿宋"/>
                <w:sz w:val="24"/>
                <w:szCs w:val="24"/>
              </w:rPr>
              <w:t>负责连退机组带钢跑偏、瓢曲以及虚拟板型仪的设计、开发，对本项目关键技术及创新点第</w:t>
            </w:r>
            <w:r>
              <w:rPr>
                <w:rFonts w:hint="eastAsia" w:ascii="Times New Roman" w:hAnsi="Times New Roman" w:eastAsia="仿宋" w:cs="Times New Roman"/>
                <w:sz w:val="24"/>
                <w:szCs w:val="24"/>
                <w:lang w:val="en-US" w:eastAsia="zh-CN"/>
              </w:rPr>
              <w:t>2、3</w:t>
            </w:r>
            <w:r>
              <w:rPr>
                <w:rFonts w:hint="eastAsia" w:ascii="仿宋" w:hAnsi="仿宋" w:eastAsia="仿宋" w:cs="仿宋"/>
                <w:sz w:val="24"/>
                <w:szCs w:val="24"/>
              </w:rPr>
              <w:t>项做出创造性贡献。</w:t>
            </w:r>
            <w:r>
              <w:rPr>
                <w:rFonts w:hint="eastAsia" w:ascii="Times New Roman" w:hAnsi="Times New Roman" w:eastAsia="仿宋" w:cs="Times New Roman"/>
                <w:sz w:val="24"/>
                <w:szCs w:val="24"/>
                <w:lang w:val="en-US" w:eastAsia="zh-CN"/>
              </w:rPr>
              <w:t>(2)</w:t>
            </w:r>
            <w:r>
              <w:rPr>
                <w:rFonts w:hint="eastAsia" w:ascii="仿宋" w:hAnsi="仿宋" w:eastAsia="仿宋" w:cs="仿宋"/>
                <w:sz w:val="24"/>
                <w:szCs w:val="24"/>
              </w:rPr>
              <w:t>主要负责连退机组稳定通板及板形监测平台的研发，基于工业生产自动化系统的通讯功能，实现了钢卷原始信息在不同工艺段中的数据传输，有效保证了带钢连续退火过程的跑偏、瓢曲及板形的实时在线监测。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numPr>
                <w:ilvl w:val="0"/>
                <w:numId w:val="0"/>
              </w:numPr>
              <w:spacing w:line="300" w:lineRule="auto"/>
              <w:jc w:val="center"/>
              <w:rPr>
                <w:rFonts w:hint="default"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苏春建</w:t>
            </w:r>
          </w:p>
        </w:tc>
        <w:tc>
          <w:tcPr>
            <w:tcW w:w="878" w:type="dxa"/>
            <w:vAlign w:val="center"/>
          </w:tcPr>
          <w:p>
            <w:pPr>
              <w:numPr>
                <w:ilvl w:val="0"/>
                <w:numId w:val="0"/>
              </w:numPr>
              <w:spacing w:line="300" w:lineRule="auto"/>
              <w:jc w:val="center"/>
              <w:rPr>
                <w:rFonts w:hint="default" w:ascii="Times New Roman" w:hAnsi="Times New Roman" w:eastAsia="仿宋" w:cs="Times New Roman"/>
                <w:b w:val="0"/>
                <w:bCs/>
                <w:color w:val="000000"/>
                <w:sz w:val="24"/>
                <w:szCs w:val="24"/>
                <w:vertAlign w:val="baseline"/>
                <w:lang w:val="en-US" w:eastAsia="zh-CN"/>
              </w:rPr>
            </w:pPr>
            <w:r>
              <w:rPr>
                <w:rFonts w:hint="eastAsia" w:eastAsia="仿宋" w:cs="Times New Roman"/>
                <w:b w:val="0"/>
                <w:bCs/>
                <w:color w:val="000000"/>
                <w:sz w:val="24"/>
                <w:szCs w:val="24"/>
                <w:vertAlign w:val="baseline"/>
                <w:lang w:val="en-US" w:eastAsia="zh-CN"/>
              </w:rPr>
              <w:t>6</w:t>
            </w:r>
          </w:p>
        </w:tc>
        <w:tc>
          <w:tcPr>
            <w:tcW w:w="1755" w:type="dxa"/>
            <w:vAlign w:val="center"/>
          </w:tcPr>
          <w:p>
            <w:pPr>
              <w:numPr>
                <w:ilvl w:val="0"/>
                <w:numId w:val="0"/>
              </w:numPr>
              <w:spacing w:line="30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山东科技大学</w:t>
            </w:r>
          </w:p>
        </w:tc>
        <w:tc>
          <w:tcPr>
            <w:tcW w:w="581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负责连续退火过程带钢跑偏、瓢曲、板形计算模型的建立以及成品热成型质量的控制，对本项目关键技术及创新点第2项做出创造性贡献，发表学术论文2篇，授权软件著作权1项。(2)山东科技大学全面参与高强高塑性板带钢制备关键工艺与工业化稳定生产技术开发及应用项目的研发工作，建立了连退过程炉辊粗糙度衰减模型与张力补偿技术，开发了连退过程稳定通板及表面质量综合控制技术。</w:t>
            </w:r>
          </w:p>
        </w:tc>
      </w:tr>
    </w:tbl>
    <w:p>
      <w:pPr>
        <w:spacing w:line="300" w:lineRule="auto"/>
        <w:rPr>
          <w:rFonts w:ascii="宋体" w:hAnsi="宋体"/>
          <w:b/>
          <w:color w:val="00000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A40F0"/>
    <w:multiLevelType w:val="singleLevel"/>
    <w:tmpl w:val="E30A40F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jMDNiODc4M2ViYTg4NWFhOTA2N2YyNGUwNGE5MGQifQ=="/>
  </w:docVars>
  <w:rsids>
    <w:rsidRoot w:val="00C263A4"/>
    <w:rsid w:val="00034C89"/>
    <w:rsid w:val="000400EA"/>
    <w:rsid w:val="00050627"/>
    <w:rsid w:val="00115927"/>
    <w:rsid w:val="001439E7"/>
    <w:rsid w:val="001605D5"/>
    <w:rsid w:val="00171BBB"/>
    <w:rsid w:val="002018D6"/>
    <w:rsid w:val="002A6F1A"/>
    <w:rsid w:val="002F6D75"/>
    <w:rsid w:val="003107B8"/>
    <w:rsid w:val="003145BE"/>
    <w:rsid w:val="00326645"/>
    <w:rsid w:val="00361FEB"/>
    <w:rsid w:val="003B3BD5"/>
    <w:rsid w:val="003C600D"/>
    <w:rsid w:val="004E1DD0"/>
    <w:rsid w:val="00537728"/>
    <w:rsid w:val="00541E1E"/>
    <w:rsid w:val="00562C03"/>
    <w:rsid w:val="005E7D0C"/>
    <w:rsid w:val="005F60DE"/>
    <w:rsid w:val="00616866"/>
    <w:rsid w:val="00636D19"/>
    <w:rsid w:val="006603CA"/>
    <w:rsid w:val="006917A8"/>
    <w:rsid w:val="006E5FA6"/>
    <w:rsid w:val="0076708C"/>
    <w:rsid w:val="00771629"/>
    <w:rsid w:val="007719B3"/>
    <w:rsid w:val="0077352E"/>
    <w:rsid w:val="00782819"/>
    <w:rsid w:val="007E580E"/>
    <w:rsid w:val="007F6CF1"/>
    <w:rsid w:val="00804E5C"/>
    <w:rsid w:val="0083674D"/>
    <w:rsid w:val="00882678"/>
    <w:rsid w:val="008D636F"/>
    <w:rsid w:val="009166C4"/>
    <w:rsid w:val="00985A7D"/>
    <w:rsid w:val="009A2929"/>
    <w:rsid w:val="009C6A3D"/>
    <w:rsid w:val="00A61CEC"/>
    <w:rsid w:val="00A85BA0"/>
    <w:rsid w:val="00AE748A"/>
    <w:rsid w:val="00BC3580"/>
    <w:rsid w:val="00BD292E"/>
    <w:rsid w:val="00BE301E"/>
    <w:rsid w:val="00C263A4"/>
    <w:rsid w:val="00C77013"/>
    <w:rsid w:val="00CE155A"/>
    <w:rsid w:val="00D735FF"/>
    <w:rsid w:val="00D81AEC"/>
    <w:rsid w:val="00E12929"/>
    <w:rsid w:val="00E428DB"/>
    <w:rsid w:val="00E4770B"/>
    <w:rsid w:val="00E52194"/>
    <w:rsid w:val="00E61CD9"/>
    <w:rsid w:val="00E85BC4"/>
    <w:rsid w:val="00EB17F9"/>
    <w:rsid w:val="00ED7F8A"/>
    <w:rsid w:val="00EE6EBF"/>
    <w:rsid w:val="00F10895"/>
    <w:rsid w:val="00F71AFA"/>
    <w:rsid w:val="0BB00C78"/>
    <w:rsid w:val="0E0A0E27"/>
    <w:rsid w:val="106D0F22"/>
    <w:rsid w:val="1310375B"/>
    <w:rsid w:val="183D2B26"/>
    <w:rsid w:val="1BA6336D"/>
    <w:rsid w:val="27B563DF"/>
    <w:rsid w:val="2A7E00B9"/>
    <w:rsid w:val="2F7E70D9"/>
    <w:rsid w:val="350D6544"/>
    <w:rsid w:val="364D2448"/>
    <w:rsid w:val="3A9C596E"/>
    <w:rsid w:val="3CEA2CCB"/>
    <w:rsid w:val="3FE557F4"/>
    <w:rsid w:val="40F24F08"/>
    <w:rsid w:val="44E00926"/>
    <w:rsid w:val="475B1485"/>
    <w:rsid w:val="4BF1634C"/>
    <w:rsid w:val="4EEF6C20"/>
    <w:rsid w:val="55460D61"/>
    <w:rsid w:val="562809AC"/>
    <w:rsid w:val="58B8779D"/>
    <w:rsid w:val="593432C8"/>
    <w:rsid w:val="5949172F"/>
    <w:rsid w:val="5C196E7D"/>
    <w:rsid w:val="5DD60DF1"/>
    <w:rsid w:val="626764BC"/>
    <w:rsid w:val="62AC0373"/>
    <w:rsid w:val="65520088"/>
    <w:rsid w:val="65F556F2"/>
    <w:rsid w:val="69A47D07"/>
    <w:rsid w:val="74E22C21"/>
    <w:rsid w:val="7731076F"/>
    <w:rsid w:val="7F466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pPr>
      <w:spacing w:line="360" w:lineRule="auto"/>
      <w:ind w:firstLine="480" w:firstLineChars="200"/>
    </w:pPr>
    <w:rPr>
      <w:rFonts w:ascii="仿宋_GB2312"/>
      <w:sz w:val="24"/>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纯文本 Char"/>
    <w:basedOn w:val="7"/>
    <w:link w:val="2"/>
    <w:autoRedefine/>
    <w:qFormat/>
    <w:uiPriority w:val="0"/>
    <w:rPr>
      <w:rFonts w:ascii="仿宋_GB2312" w:hAnsi="Times New Roman" w:eastAsia="宋体" w:cs="Times New Roman"/>
      <w:sz w:val="24"/>
      <w:szCs w:val="20"/>
    </w:rPr>
  </w:style>
  <w:style w:type="paragraph" w:customStyle="1" w:styleId="11">
    <w:name w:val="null13"/>
    <w:autoRedefine/>
    <w:qFormat/>
    <w:uiPriority w:val="0"/>
    <w:rPr>
      <w:rFonts w:ascii="Times New Roman" w:hAnsi="宋体" w:eastAsia="宋体" w:cs="Times New Roman"/>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320</Words>
  <Characters>1825</Characters>
  <Lines>15</Lines>
  <Paragraphs>4</Paragraphs>
  <TotalTime>1</TotalTime>
  <ScaleCrop>false</ScaleCrop>
  <LinksUpToDate>false</LinksUpToDate>
  <CharactersWithSpaces>2141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2024-05-09T02:52:00Z</dcterms:created>
  <dc:creator>周 生仪</dc:creator>
  <cp:lastModifiedBy>Mr.Sun</cp:lastModifiedBy>
  <dcterms:modified xsi:type="dcterms:W3CDTF">2024-05-22T03:40:28Z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750574C05CF940BA89708D84AAF32D78_13</vt:lpwstr>
  </property>
</Properties>
</file>