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FF8D8">
      <w:pPr>
        <w:widowControl w:val="0"/>
        <w:jc w:val="center"/>
        <w:rPr>
          <w:rFonts w:hint="default"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支持课题</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指南方向</w:t>
      </w:r>
    </w:p>
    <w:bookmarkEnd w:id="0"/>
    <w:p w14:paraId="7DF467ED">
      <w:pPr>
        <w:widowControl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战略导向项目（A类）</w:t>
      </w:r>
    </w:p>
    <w:p w14:paraId="7FAEACED">
      <w:pPr>
        <w:widowControl w:val="0"/>
        <w:ind w:firstLine="627" w:firstLineChars="200"/>
        <w:rPr>
          <w:rFonts w:hint="eastAsia" w:ascii="仿宋_GB2312" w:hAnsi="仿宋_GB2312" w:eastAsia="仿宋_GB2312" w:cs="仿宋_GB2312"/>
          <w:b/>
          <w:bCs/>
          <w:color w:val="auto"/>
          <w:spacing w:val="-4"/>
          <w:kern w:val="2"/>
          <w:sz w:val="32"/>
          <w:szCs w:val="32"/>
          <w:lang w:val="en-US" w:eastAsia="zh-CN" w:bidi="ar-SA"/>
        </w:rPr>
      </w:pPr>
      <w:r>
        <w:rPr>
          <w:rFonts w:hint="eastAsia" w:ascii="仿宋_GB2312" w:hAnsi="仿宋_GB2312" w:eastAsia="仿宋_GB2312" w:cs="仿宋_GB2312"/>
          <w:b/>
          <w:bCs/>
          <w:color w:val="auto"/>
          <w:spacing w:val="-4"/>
          <w:kern w:val="2"/>
          <w:sz w:val="32"/>
          <w:szCs w:val="32"/>
          <w:lang w:val="en-US" w:eastAsia="zh-CN" w:bidi="ar-SA"/>
        </w:rPr>
        <w:t>1.青岛市“十五五”科技创新规划战略研究</w:t>
      </w:r>
    </w:p>
    <w:p w14:paraId="6F14CBA6">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评估青岛市“十四五”科技创新规划执行情况；开展青岛市“十五五”科技创新规划预研，提出“十五五”期间科技创新发展的基本思路、发展目标、重点任务、重大工程、保障措施等。同时，开展科技创新引领产业创新研究，围绕未来产业培育、新兴产业壮大、传统产业升级等，研究提出我市科技创新引领现代化产业体系建设的主攻方向及推进举措，为高质量完成青岛市“十五五”科技创新规划编制提供决策支撑。</w:t>
      </w:r>
    </w:p>
    <w:p w14:paraId="570720CC">
      <w:pPr>
        <w:pStyle w:val="15"/>
        <w:widowControl w:val="0"/>
        <w:spacing w:line="560" w:lineRule="exact"/>
        <w:ind w:left="0" w:firstLine="0" w:firstLineChars="0"/>
        <w:rPr>
          <w:rFonts w:ascii="仿宋_GB2312" w:hAnsi="仿宋_GB2312" w:eastAsia="仿宋_GB2312" w:cs="仿宋_GB2312"/>
          <w:color w:val="auto"/>
          <w:lang w:eastAsia="zh-CN"/>
        </w:rPr>
      </w:pPr>
      <w:r>
        <w:rPr>
          <w:rFonts w:hint="eastAsia" w:ascii="仿宋_GB2312" w:hAnsi="仿宋_GB2312" w:eastAsia="仿宋_GB2312" w:cs="仿宋_GB2312"/>
          <w:color w:val="auto"/>
          <w:sz w:val="32"/>
          <w:lang w:eastAsia="zh-CN"/>
        </w:rPr>
        <w:t xml:space="preserve">    考核指标：完成“十四五”评估报告和“十五五”规划预研报告，为编制青岛市“十五五”科技创新规划提供决策参考和建议。</w:t>
      </w:r>
    </w:p>
    <w:p w14:paraId="0A5BC028">
      <w:pPr>
        <w:widowControl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建议委托单位：青岛市科学技术信息研究院</w:t>
      </w:r>
    </w:p>
    <w:p w14:paraId="23787006">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12BA39D8">
      <w:pPr>
        <w:widowControl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资金支持：不超过60万元</w:t>
      </w:r>
    </w:p>
    <w:p w14:paraId="2B3F69CC">
      <w:pPr>
        <w:widowControl w:val="0"/>
        <w:ind w:firstLine="640" w:firstLineChars="200"/>
        <w:rPr>
          <w:rFonts w:ascii="楷体_GB2312" w:hAnsi="楷体_GB2312" w:eastAsia="楷体_GB2312" w:cs="楷体_GB2312"/>
          <w:sz w:val="32"/>
        </w:rPr>
      </w:pPr>
      <w:r>
        <w:rPr>
          <w:rFonts w:hint="eastAsia" w:ascii="楷体_GB2312" w:hAnsi="楷体_GB2312" w:eastAsia="楷体_GB2312" w:cs="楷体_GB2312"/>
          <w:sz w:val="32"/>
          <w:lang w:val="en-US" w:eastAsia="zh-CN"/>
        </w:rPr>
        <w:t>二、</w:t>
      </w:r>
      <w:r>
        <w:rPr>
          <w:rFonts w:hint="eastAsia" w:ascii="楷体_GB2312" w:hAnsi="楷体_GB2312" w:eastAsia="楷体_GB2312" w:cs="楷体_GB2312"/>
          <w:sz w:val="32"/>
        </w:rPr>
        <w:t>决策支撑项目（B类）</w:t>
      </w:r>
    </w:p>
    <w:p w14:paraId="16C179D5">
      <w:pPr>
        <w:pStyle w:val="15"/>
        <w:widowControl w:val="0"/>
        <w:spacing w:line="560" w:lineRule="exact"/>
        <w:ind w:left="0" w:firstLine="627"/>
        <w:rPr>
          <w:rFonts w:ascii="仿宋_GB2312" w:hAnsi="仿宋_GB2312" w:eastAsia="仿宋_GB2312" w:cs="仿宋_GB2312"/>
          <w:b/>
          <w:bCs/>
          <w:color w:val="auto"/>
          <w:sz w:val="32"/>
          <w:lang w:eastAsia="zh-CN"/>
        </w:rPr>
      </w:pPr>
      <w:r>
        <w:rPr>
          <w:rFonts w:hint="eastAsia" w:ascii="仿宋_GB2312" w:hAnsi="仿宋_GB2312" w:eastAsia="仿宋_GB2312" w:cs="仿宋_GB2312"/>
          <w:b/>
          <w:bCs/>
          <w:color w:val="auto"/>
          <w:sz w:val="32"/>
          <w:lang w:val="en-US" w:eastAsia="zh-CN"/>
        </w:rPr>
        <w:t>2.</w:t>
      </w:r>
      <w:r>
        <w:rPr>
          <w:rFonts w:hint="eastAsia" w:ascii="仿宋_GB2312" w:hAnsi="仿宋_GB2312" w:eastAsia="仿宋_GB2312" w:cs="仿宋_GB2312"/>
          <w:b/>
          <w:bCs/>
          <w:color w:val="auto"/>
          <w:sz w:val="32"/>
          <w:lang w:eastAsia="zh-CN"/>
        </w:rPr>
        <w:t>青岛市现行科技创新政策对新质生产力发展作用评估及提升对策</w:t>
      </w:r>
    </w:p>
    <w:p w14:paraId="66E262F3">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我市现有科技创新政策对新质生产力发展的促进作用，梳理我市新质生产力发展现状，通过量化分析科技创新政策对我市新质生产力发展的影响，评估科技政策在推动产业升级、优化创新环境、完善创新体系等方面的成效，分析其在促进青岛市新质生产力发展存在的主要问题，提出我市科技创新政策优化建议。</w:t>
      </w:r>
    </w:p>
    <w:p w14:paraId="02AA2199">
      <w:pPr>
        <w:pStyle w:val="15"/>
        <w:widowControl w:val="0"/>
        <w:spacing w:line="560" w:lineRule="exact"/>
        <w:ind w:left="0" w:firstLine="640"/>
        <w:rPr>
          <w:rFonts w:ascii="仿宋_GB2312" w:hAnsi="仿宋_GB2312" w:eastAsia="仿宋_GB2312" w:cs="仿宋_GB2312"/>
          <w:color w:val="auto"/>
          <w:sz w:val="32"/>
          <w:lang w:eastAsia="zh-CN"/>
        </w:rPr>
      </w:pPr>
      <w:r>
        <w:rPr>
          <w:rFonts w:hint="eastAsia" w:ascii="仿宋_GB2312" w:hAnsi="仿宋_GB2312" w:eastAsia="仿宋_GB2312" w:cs="仿宋_GB2312"/>
          <w:color w:val="auto"/>
          <w:spacing w:val="0"/>
          <w:sz w:val="32"/>
          <w:lang w:eastAsia="zh-CN"/>
        </w:rPr>
        <w:t>考核指标：完成研究报告，提出科技创新政策优化建议</w:t>
      </w:r>
      <w:r>
        <w:rPr>
          <w:rFonts w:hint="eastAsia" w:ascii="仿宋_GB2312" w:hAnsi="仿宋_GB2312" w:eastAsia="仿宋_GB2312" w:cs="仿宋_GB2312"/>
          <w:color w:val="auto"/>
          <w:sz w:val="32"/>
          <w:lang w:eastAsia="zh-CN"/>
        </w:rPr>
        <w:t>。</w:t>
      </w:r>
    </w:p>
    <w:p w14:paraId="1920B240">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建议委托单位：青岛市科技创新驱动经济高质量发展研究基地（山东科技大学）</w:t>
      </w:r>
    </w:p>
    <w:p w14:paraId="0A5ED63A">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6E3EDB36">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1A9B6421">
      <w:pPr>
        <w:widowControl w:val="0"/>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3.青岛市科技领军企业评价指标体系及培育路径研究</w:t>
      </w:r>
    </w:p>
    <w:p w14:paraId="6EDFB106">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聚焦我市科技领军企业评价与培育，通过分析我市高新技术企业发展情况，筛选出具有规模优势、创新优势、人才优势、市场优势的引领型企业，深入研究科技领军企业的定义与定位，分析行业龙头型与高成长型科技领军企业不同特征及成长路径，分别建立评价思路及指标体系；提出培育我市科技领军企业、发挥科技领军企业科技创新主导作用的对策思路，为建立完善科技型中小企业、高新技术企业、科技领军企业梯次培育体系提供参考。</w:t>
      </w:r>
    </w:p>
    <w:p w14:paraId="0908128C">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考核指标：完成研究报告，建立科技领军企业评价指标体系，提出我市培育科技领军企业及发挥其作用的对策建议。</w:t>
      </w:r>
    </w:p>
    <w:p w14:paraId="368B11A0">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建议委托单位：青岛市科技政策与规划研究基地（青岛市科学技术信息研究院）</w:t>
      </w:r>
    </w:p>
    <w:p w14:paraId="3B05AF9F">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51367C7B">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资金支持：不超过20万元</w:t>
      </w:r>
    </w:p>
    <w:p w14:paraId="54F9FCCB">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4.青岛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海洋高端人才流动态势与驱动因素研究</w:t>
      </w:r>
    </w:p>
    <w:p w14:paraId="63A95427">
      <w:pPr>
        <w:pStyle w:val="15"/>
        <w:widowControl w:val="0"/>
        <w:spacing w:line="560" w:lineRule="exact"/>
        <w:ind w:left="0" w:firstLine="640" w:firstLineChars="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青岛海洋高端人才集聚，梳理分析近10年来我市高校院所海洋人才培养情况、全国涉海应届毕业生一次就业流入流出我市情况；我市高校院所和涉海企业的科研学术带头人、产业领军专家等高端人才在我市的流入流出情况；结合城市要素变量，阐明海洋人才流动的主要驱动因素，提出相关对策建议。</w:t>
      </w:r>
    </w:p>
    <w:p w14:paraId="7D2B7205">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考核指标：完成研究报告，提出相关对策建议，为政府部门提供决策支持。</w:t>
      </w:r>
    </w:p>
    <w:p w14:paraId="689C0A53">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建议委托单位：青岛市海洋科技创新发展战略研究基地（山东省海洋科学研究院）</w:t>
      </w:r>
    </w:p>
    <w:p w14:paraId="4EBC8D8F">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5BBFC8B2">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资金支持：不超过20万元</w:t>
      </w:r>
    </w:p>
    <w:p w14:paraId="67E06515">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5.青岛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提升科技服务业发展水平的路径对策研究</w:t>
      </w:r>
    </w:p>
    <w:p w14:paraId="4FFE5354">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w:t>
      </w:r>
      <w:r>
        <w:rPr>
          <w:rFonts w:hint="eastAsia" w:ascii="仿宋_GB2312" w:eastAsia="仿宋_GB2312"/>
          <w:color w:val="auto"/>
          <w:sz w:val="32"/>
          <w:lang w:eastAsia="zh-CN"/>
        </w:rPr>
        <w:t>聚焦青岛市科技服务业发展整体部署和发展要求，对青岛市科技服务业发展总体现状、工作基础、问题不足、制约因素等进行总结，分析我市在研究开发服务、创新孵化服务、技术转移服务、科技金融服务等细分领域存在的主要问题，借鉴北京、上海、深圳、浙江等地科技服务业发展的先进经验，提出青岛科技服务业未来高质量发展的路径与对策。</w:t>
      </w:r>
    </w:p>
    <w:p w14:paraId="2B095B49">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考核指标：完成研究报告，提出青岛市科技服务业高质量发展的路径与对策，为政府决策提供参考。</w:t>
      </w:r>
    </w:p>
    <w:p w14:paraId="093AA416">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建议委托单位：青岛市科技创新公共政策研究基地（青岛紫文管理咨询有限公司）</w:t>
      </w:r>
    </w:p>
    <w:p w14:paraId="5C972A14">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377D4F57">
      <w:pPr>
        <w:widowControl w:val="0"/>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资金支持：不超过20万元</w:t>
      </w:r>
    </w:p>
    <w:p w14:paraId="5D5D1541">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6.面向产学研深度融合的青岛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教育、科技、人才一体化驱动改革路径研究</w:t>
      </w:r>
    </w:p>
    <w:p w14:paraId="1B1111AD">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教育、科技、人才体制机制一体化改革，驱动产学研深度融合，调查分析青岛市产学研深度融合中的梗阻，特别是高校科技成果研发转化不畅的原因，系统梳理总结发达国家和地区产学研融合的经验，探究提出基于产学研深度融合的教育、科技、人才体制机制一体化改革路径。</w:t>
      </w:r>
    </w:p>
    <w:p w14:paraId="113F4B15">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考核指标：完成研究报告，提出基于产学研深度融合的教育、科技、人才体制机制一体化改革路径，为政府决策提供参考。</w:t>
      </w:r>
    </w:p>
    <w:p w14:paraId="25071D2F">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建议委托单位：青岛市产业技术创新与科技成果转化研究基地（青岛科技大学）</w:t>
      </w:r>
    </w:p>
    <w:p w14:paraId="517BE599">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0AF50FA3">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545DD446">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7.财政科技股权投资赋能青岛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科技企业创新能力的问题及对策研究</w:t>
      </w:r>
    </w:p>
    <w:p w14:paraId="01D1D7EC">
      <w:pPr>
        <w:pStyle w:val="15"/>
        <w:widowControl w:val="0"/>
        <w:spacing w:line="560" w:lineRule="exact"/>
        <w:ind w:left="0" w:firstLine="640"/>
        <w:jc w:val="both"/>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财政科技股权投资赋能青岛科技企业创新能力建设，通过青岛市财政科技股权投资的多维度划分及量化分析，构建财政科技股权投资影响科技企业创新的评估模型，总结目前财政科技股权投资存在的问题；通过模拟分析、实证研究分析、质性分析等多种方式考察财政科技股权投资对科技企业创新能力的作用机制及效果，提出财政科技股权投资政策调整和制度创新建议。</w:t>
      </w:r>
    </w:p>
    <w:p w14:paraId="24803258">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考核指标：完成研究报告，提出财政科技股权投资政策调整和制度创新建议，为政府决策提供参考。</w:t>
      </w:r>
    </w:p>
    <w:p w14:paraId="459B709E">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建议委托单位：青岛市科技体系与制度创新研究基地（青岛大学）</w:t>
      </w:r>
    </w:p>
    <w:p w14:paraId="09635B2B">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591AFB02">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0AAA9CF8">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8.面向新质生产力发展需求的青岛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新兴产业高质量发展战略研究</w:t>
      </w:r>
    </w:p>
    <w:p w14:paraId="6F3DF072">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聚焦我市加快培育新质生产力，推动新兴产业高质量发展，从新质生产力培育的视角，审视青岛新兴产业发展的背景、基础和优势方向，研究新兴产业高质量发展、科技创新、产业创新的历史演进和发展趋势；通过与其他地区的横向比较，总结新兴产业发展的经验与启示，从支撑新质生产力培育的需求出发，提出我市未来新兴产业高质量发展的优势领域、重点方向和路径选择。</w:t>
      </w:r>
    </w:p>
    <w:p w14:paraId="1051EA4F">
      <w:pPr>
        <w:pStyle w:val="15"/>
        <w:widowControl w:val="0"/>
        <w:spacing w:line="560" w:lineRule="exact"/>
        <w:ind w:left="0" w:firstLine="640"/>
        <w:rPr>
          <w:rFonts w:ascii="仿宋_GB2312" w:hAnsi="仿宋_GB2312" w:eastAsia="仿宋_GB2312" w:cs="仿宋_GB2312"/>
          <w:color w:val="FF0000"/>
          <w:spacing w:val="0"/>
          <w:sz w:val="32"/>
          <w:lang w:eastAsia="zh-CN"/>
        </w:rPr>
      </w:pPr>
      <w:r>
        <w:rPr>
          <w:rFonts w:hint="eastAsia" w:ascii="仿宋_GB2312" w:hAnsi="仿宋_GB2312" w:eastAsia="仿宋_GB2312" w:cs="仿宋_GB2312"/>
          <w:color w:val="auto"/>
          <w:spacing w:val="0"/>
          <w:sz w:val="32"/>
          <w:lang w:eastAsia="zh-CN"/>
        </w:rPr>
        <w:t>考核指标：完成研究报告，提出面向新质生产力培育需求的我市新兴产业高质量发展的优势领域、重点方向和路径选择。</w:t>
      </w:r>
    </w:p>
    <w:p w14:paraId="75640CB5">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建议委托单位：青岛市新质生产力赋能新兴未来产业高质量发展研究基地（中共青岛市委党校）</w:t>
      </w:r>
    </w:p>
    <w:p w14:paraId="6A4E210C">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41F2EE03">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2F9FB271">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9.</w:t>
      </w:r>
      <w:r>
        <w:rPr>
          <w:rFonts w:hint="eastAsia" w:ascii="仿宋_GB2312" w:eastAsia="仿宋_GB2312"/>
          <w:b/>
          <w:bCs/>
          <w:color w:val="auto"/>
          <w:sz w:val="32"/>
          <w:lang w:eastAsia="zh-CN"/>
        </w:rPr>
        <w:t>青岛科创大走廊建设方案研究</w:t>
      </w:r>
    </w:p>
    <w:p w14:paraId="7C134352">
      <w:pPr>
        <w:pStyle w:val="15"/>
        <w:widowControl w:val="0"/>
        <w:spacing w:line="560" w:lineRule="exact"/>
        <w:ind w:left="0" w:firstLine="640"/>
        <w:rPr>
          <w:rFonts w:ascii="仿宋_GB2312" w:eastAsia="仿宋_GB2312"/>
          <w:color w:val="auto"/>
          <w:sz w:val="32"/>
          <w:lang w:eastAsia="zh-CN"/>
        </w:rPr>
      </w:pPr>
      <w:r>
        <w:rPr>
          <w:rFonts w:hint="eastAsia" w:ascii="仿宋_GB2312" w:hAnsi="仿宋_GB2312" w:eastAsia="仿宋_GB2312" w:cs="仿宋_GB2312"/>
          <w:color w:val="auto"/>
          <w:spacing w:val="0"/>
          <w:sz w:val="32"/>
          <w:lang w:eastAsia="zh-CN"/>
        </w:rPr>
        <w:t>研究内容：聚焦</w:t>
      </w:r>
      <w:r>
        <w:rPr>
          <w:rFonts w:hint="eastAsia" w:ascii="仿宋_GB2312" w:eastAsia="仿宋_GB2312"/>
          <w:color w:val="auto"/>
          <w:sz w:val="32"/>
          <w:lang w:eastAsia="zh-CN"/>
        </w:rPr>
        <w:t>建设青岛科创大走廊，打造区域科技创新高地，立足青岛实际，分析青岛建设科创大走廊的重大意义、基础优势、存在问题，研究青岛建设科创大走廊的指导思想、战略定位、发展目标和空间布局，提出具体的推动举措和保障措施，为</w:t>
      </w:r>
      <w:r>
        <w:rPr>
          <w:rFonts w:hint="eastAsia" w:ascii="仿宋_GB2312" w:hAnsi="仿宋_GB2312" w:eastAsia="仿宋_GB2312" w:cs="仿宋_GB2312"/>
          <w:color w:val="auto"/>
          <w:sz w:val="32"/>
          <w:szCs w:val="22"/>
          <w:lang w:eastAsia="zh-CN"/>
        </w:rPr>
        <w:t>高水平谋划建设青岛科创大走廊提供科学可行的建议方案。</w:t>
      </w:r>
    </w:p>
    <w:p w14:paraId="13F4493E">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考核指标：完成研究报告，提出我市建设</w:t>
      </w:r>
      <w:r>
        <w:rPr>
          <w:rFonts w:hint="eastAsia" w:ascii="仿宋_GB2312" w:eastAsia="仿宋_GB2312"/>
          <w:color w:val="auto"/>
          <w:sz w:val="32"/>
          <w:lang w:eastAsia="zh-CN"/>
        </w:rPr>
        <w:t>青岛科创大走廊具体方案建议，</w:t>
      </w:r>
      <w:r>
        <w:rPr>
          <w:rFonts w:hint="eastAsia" w:ascii="仿宋_GB2312" w:hAnsi="仿宋_GB2312" w:eastAsia="仿宋_GB2312" w:cs="仿宋_GB2312"/>
          <w:color w:val="auto"/>
          <w:sz w:val="32"/>
          <w:lang w:eastAsia="zh-CN"/>
        </w:rPr>
        <w:t>为政府决策提供参考。</w:t>
      </w:r>
    </w:p>
    <w:p w14:paraId="0998BED3">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建议委托单位：青岛市区域科技创新发展研究基地（</w:t>
      </w:r>
      <w:r>
        <w:rPr>
          <w:rFonts w:hint="eastAsia" w:ascii="仿宋_GB2312" w:hAnsi="仿宋_GB2312" w:eastAsia="仿宋_GB2312" w:cs="仿宋_GB2312"/>
          <w:color w:val="auto"/>
          <w:sz w:val="32"/>
          <w:szCs w:val="22"/>
          <w:lang w:eastAsia="zh-CN"/>
        </w:rPr>
        <w:t>青岛智识新经济研究院有限公司）</w:t>
      </w:r>
    </w:p>
    <w:p w14:paraId="62CB1900">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04323D1B">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69E52C61">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10.青岛</w:t>
      </w:r>
      <w:r>
        <w:rPr>
          <w:rFonts w:hint="eastAsia" w:ascii="仿宋_GB2312" w:hAnsi="仿宋_GB2312" w:eastAsia="仿宋_GB2312" w:cs="仿宋_GB2312"/>
          <w:b/>
          <w:bCs/>
          <w:color w:val="auto"/>
          <w:sz w:val="32"/>
          <w:lang w:eastAsia="zh-CN"/>
        </w:rPr>
        <w:t>市</w:t>
      </w:r>
      <w:r>
        <w:rPr>
          <w:rFonts w:hint="eastAsia" w:ascii="仿宋_GB2312" w:hAnsi="仿宋_GB2312" w:eastAsia="仿宋_GB2312" w:cs="仿宋_GB2312"/>
          <w:b/>
          <w:bCs/>
          <w:color w:val="auto"/>
          <w:spacing w:val="0"/>
          <w:sz w:val="32"/>
          <w:lang w:eastAsia="zh-CN"/>
        </w:rPr>
        <w:t>面向未来的智慧康养发展路径研究</w:t>
      </w:r>
    </w:p>
    <w:p w14:paraId="64E927D0">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智慧康养推动医疗健康服务升级、高质量生活和社会可持续发展，总结分析我市传统康养模式现状，围绕我市未来智慧康养的建设发展，开展智慧康养科技赋能和智慧康养区域协作与资源共享机制等方面的研究，剖析智慧康养领域的科技创新和人工智能的发展需求，提出青岛市康养与人工智能深度融合的发展路径与对策建议。</w:t>
      </w:r>
    </w:p>
    <w:p w14:paraId="19EA14AD">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考核指标：完成研究报告，提出我市智慧康养建设的路径与对策，为政府决策提供参考。</w:t>
      </w:r>
    </w:p>
    <w:p w14:paraId="4B66A20E">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建议委托单位：青岛市健康科技与产业政策研究基地（康复大学）</w:t>
      </w:r>
    </w:p>
    <w:p w14:paraId="3340586E">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2330F41D">
      <w:pPr>
        <w:pStyle w:val="15"/>
        <w:widowControl w:val="0"/>
        <w:spacing w:line="560" w:lineRule="exact"/>
        <w:ind w:left="0" w:firstLine="640"/>
        <w:rPr>
          <w:rFonts w:ascii="黑体" w:hAnsi="黑体" w:eastAsia="黑体" w:cs="黑体"/>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4390F98A">
      <w:pPr>
        <w:pStyle w:val="15"/>
        <w:widowControl w:val="0"/>
        <w:spacing w:line="560" w:lineRule="exact"/>
        <w:ind w:left="0" w:firstLine="643"/>
        <w:rPr>
          <w:rFonts w:ascii="仿宋_GB2312" w:hAnsi="仿宋_GB2312" w:eastAsia="仿宋_GB2312" w:cs="仿宋_GB2312"/>
          <w:color w:val="auto"/>
          <w:spacing w:val="0"/>
          <w:sz w:val="32"/>
          <w:lang w:eastAsia="zh-CN"/>
        </w:rPr>
      </w:pPr>
      <w:r>
        <w:rPr>
          <w:rFonts w:hint="eastAsia" w:ascii="仿宋_GB2312" w:hAnsi="仿宋_GB2312" w:eastAsia="仿宋_GB2312" w:cs="仿宋_GB2312"/>
          <w:b/>
          <w:bCs/>
          <w:color w:val="auto"/>
          <w:spacing w:val="0"/>
          <w:sz w:val="32"/>
          <w:lang w:eastAsia="zh-CN"/>
        </w:rPr>
        <w:t>11.新一轮技术变革赋能海洋生物资源可持续开发创新研究</w:t>
      </w:r>
    </w:p>
    <w:p w14:paraId="07AD801D">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新一轮技术变革赋能海洋生物资源可持续开发利用，分析以人工智能为代表的新一轮技术变革给海洋生物资源开发带来新的机遇，开展气候变化背景下海洋生物资源开发潜力定量评估、新一轮技术变革赋能海洋生物资源绿色高效开发、海洋生物资源开发科技创新与产业发展深度融合等方面的研究，提出我市海洋生物资源可持续开发与产业科技创新协同发展的政策建议。</w:t>
      </w:r>
    </w:p>
    <w:p w14:paraId="438675AD">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考核指标：完成研究报告，提出我市海洋生物资源可持续开发与产业科技创新协同发展的政策建议</w:t>
      </w:r>
      <w:r>
        <w:rPr>
          <w:rFonts w:hint="eastAsia" w:ascii="仿宋_GB2312" w:hAnsi="仿宋_GB2312" w:eastAsia="仿宋_GB2312" w:cs="仿宋_GB2312"/>
          <w:color w:val="auto"/>
          <w:sz w:val="32"/>
          <w:lang w:eastAsia="zh-CN"/>
        </w:rPr>
        <w:t>。</w:t>
      </w:r>
    </w:p>
    <w:p w14:paraId="0C12F21F">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建议委托单位：青岛市海洋环境与资源科技创新战略研究基地（中国海洋大学</w:t>
      </w:r>
      <w:r>
        <w:rPr>
          <w:rFonts w:hint="eastAsia" w:ascii="仿宋_GB2312" w:hAnsi="仿宋_GB2312" w:eastAsia="仿宋_GB2312" w:cs="仿宋_GB2312"/>
          <w:color w:val="auto"/>
          <w:sz w:val="32"/>
          <w:szCs w:val="22"/>
          <w:lang w:eastAsia="zh-CN"/>
        </w:rPr>
        <w:t>）</w:t>
      </w:r>
    </w:p>
    <w:p w14:paraId="4E5FA2B6">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3E52E9A6">
      <w:pPr>
        <w:pStyle w:val="15"/>
        <w:widowControl w:val="0"/>
        <w:spacing w:line="560" w:lineRule="exact"/>
        <w:ind w:left="0" w:firstLine="640"/>
        <w:rPr>
          <w:rFonts w:ascii="黑体" w:hAnsi="黑体" w:eastAsia="黑体" w:cs="黑体"/>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03627E6A">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12.青岛市科研机构创新能力评价研究</w:t>
      </w:r>
    </w:p>
    <w:p w14:paraId="1F87CECC">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青岛市科研机构创新能力评价和提升，剖析青岛科研机构在创新能力建设方面取得的成就和不足，分析并评述现有科研机构创新能力评价模型和方法，对标同类城市，结合青岛的海洋科技、高新技术产业等特色，构建一套青岛科研机构创新发展能力评价的指标体系，提出科研机构创新能力提升的对策建议。</w:t>
      </w:r>
    </w:p>
    <w:p w14:paraId="48ED6FBB">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考核指标：完成研究报告，构建符合我市实际的科研机构创新能力评价指标体系，提出科研机构创新能力提升的对策建议。</w:t>
      </w:r>
    </w:p>
    <w:p w14:paraId="6D102D70">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建议委托单位：天津市科学技术发展战略研究院</w:t>
      </w:r>
    </w:p>
    <w:p w14:paraId="3D27CFBE">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3B853140">
      <w:pPr>
        <w:pStyle w:val="15"/>
        <w:widowControl w:val="0"/>
        <w:spacing w:line="560" w:lineRule="exact"/>
        <w:ind w:left="0" w:firstLine="640"/>
        <w:rPr>
          <w:rFonts w:ascii="黑体" w:hAnsi="黑体" w:eastAsia="黑体" w:cs="黑体"/>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5C1051AF">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13.新形势下青岛市国际科技合作与创新生态构建策略研究</w:t>
      </w:r>
    </w:p>
    <w:p w14:paraId="004D8F13">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聚焦青岛建设一流的高水平科技创新和对外开放新高地，构建高效、开放、协同的科技合作与生态体系框架，分析当前青岛国际科技合作的现状和存在问题，总结全球科创领先城市的国际科技合作模式、机制与特色，研究多轴联动方式促进国际科技合作的机理、内容与突破，以及国际科技合作资源的内部整合、衔接与贯通，提出提升青岛市国际科技合作水平的创新生态构建策略。</w:t>
      </w:r>
    </w:p>
    <w:p w14:paraId="0D0232C7">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w:t>
      </w:r>
      <w:r>
        <w:rPr>
          <w:rFonts w:hint="eastAsia" w:ascii="仿宋_GB2312" w:hAnsi="仿宋_GB2312" w:eastAsia="仿宋_GB2312" w:cs="仿宋_GB2312"/>
          <w:color w:val="auto"/>
          <w:sz w:val="32"/>
          <w:lang w:eastAsia="zh-CN"/>
        </w:rPr>
        <w:t>完成研究报告，提出我市</w:t>
      </w:r>
      <w:r>
        <w:rPr>
          <w:rFonts w:hint="eastAsia" w:ascii="仿宋_GB2312" w:hAnsi="仿宋_GB2312" w:eastAsia="仿宋_GB2312" w:cs="仿宋_GB2312"/>
          <w:color w:val="auto"/>
          <w:spacing w:val="0"/>
          <w:sz w:val="32"/>
          <w:lang w:eastAsia="zh-CN"/>
        </w:rPr>
        <w:t>国际科技合作创新生态构建</w:t>
      </w:r>
      <w:r>
        <w:rPr>
          <w:rFonts w:hint="eastAsia" w:ascii="仿宋_GB2312" w:hAnsi="仿宋_GB2312" w:eastAsia="仿宋_GB2312" w:cs="仿宋_GB2312"/>
          <w:color w:val="auto"/>
          <w:sz w:val="32"/>
          <w:lang w:eastAsia="zh-CN"/>
        </w:rPr>
        <w:t>策略和建议</w:t>
      </w:r>
      <w:r>
        <w:rPr>
          <w:rFonts w:hint="eastAsia" w:ascii="仿宋_GB2312" w:hAnsi="仿宋_GB2312" w:eastAsia="仿宋_GB2312" w:cs="仿宋_GB2312"/>
          <w:color w:val="auto"/>
          <w:spacing w:val="0"/>
          <w:sz w:val="32"/>
          <w:lang w:eastAsia="zh-CN"/>
        </w:rPr>
        <w:t>。</w:t>
      </w:r>
    </w:p>
    <w:p w14:paraId="52F0B93D">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建议委托单位：山东大学</w:t>
      </w:r>
    </w:p>
    <w:p w14:paraId="04CED078">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4D5AB055">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757AD13C">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14.青岛市****的策略研究</w:t>
      </w:r>
    </w:p>
    <w:p w14:paraId="49DB3B58">
      <w:pPr>
        <w:pStyle w:val="15"/>
        <w:widowControl w:val="0"/>
        <w:spacing w:line="560" w:lineRule="exact"/>
        <w:ind w:left="0" w:firstLine="640"/>
        <w:jc w:val="both"/>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研究内容：略。</w:t>
      </w:r>
    </w:p>
    <w:p w14:paraId="158E261C">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考核指标：略。</w:t>
      </w:r>
    </w:p>
    <w:p w14:paraId="3ABD4D35">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建议委托单位：青岛协同创新研究院</w:t>
      </w:r>
    </w:p>
    <w:p w14:paraId="0244809C">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0E2601B6">
      <w:pPr>
        <w:pStyle w:val="15"/>
        <w:widowControl w:val="0"/>
        <w:spacing w:line="560" w:lineRule="exact"/>
        <w:ind w:left="0" w:firstLine="640"/>
        <w:rPr>
          <w:rFonts w:ascii="黑体" w:hAnsi="黑体" w:eastAsia="黑体" w:cs="黑体"/>
          <w:color w:val="auto"/>
          <w:spacing w:val="0"/>
          <w:sz w:val="32"/>
          <w:lang w:eastAsia="zh-CN"/>
        </w:rPr>
      </w:pPr>
      <w:r>
        <w:rPr>
          <w:rFonts w:hint="eastAsia" w:ascii="仿宋_GB2312" w:hAnsi="仿宋_GB2312" w:eastAsia="仿宋_GB2312" w:cs="仿宋_GB2312"/>
          <w:color w:val="auto"/>
          <w:spacing w:val="0"/>
          <w:sz w:val="32"/>
          <w:lang w:eastAsia="zh-CN"/>
        </w:rPr>
        <w:t>资金支持：不超过20万元</w:t>
      </w:r>
    </w:p>
    <w:p w14:paraId="47D6DEB8">
      <w:pPr>
        <w:pStyle w:val="15"/>
        <w:widowControl w:val="0"/>
        <w:spacing w:line="560" w:lineRule="exact"/>
        <w:ind w:left="0" w:firstLine="640"/>
        <w:rPr>
          <w:rFonts w:ascii="楷体_GB2312" w:hAnsi="楷体_GB2312" w:eastAsia="楷体_GB2312" w:cs="楷体_GB2312"/>
          <w:color w:val="auto"/>
          <w:spacing w:val="0"/>
          <w:sz w:val="32"/>
          <w:lang w:eastAsia="zh-CN"/>
        </w:rPr>
      </w:pPr>
      <w:r>
        <w:rPr>
          <w:rFonts w:hint="eastAsia" w:ascii="楷体_GB2312" w:hAnsi="楷体_GB2312" w:eastAsia="楷体_GB2312" w:cs="楷体_GB2312"/>
          <w:color w:val="auto"/>
          <w:spacing w:val="0"/>
          <w:sz w:val="32"/>
          <w:lang w:val="en-US" w:eastAsia="zh-CN"/>
        </w:rPr>
        <w:t>三、</w:t>
      </w:r>
      <w:r>
        <w:rPr>
          <w:rFonts w:hint="eastAsia" w:ascii="楷体_GB2312" w:hAnsi="楷体_GB2312" w:eastAsia="楷体_GB2312" w:cs="楷体_GB2312"/>
          <w:color w:val="auto"/>
          <w:spacing w:val="0"/>
          <w:sz w:val="32"/>
          <w:lang w:eastAsia="zh-CN"/>
        </w:rPr>
        <w:t>特色研究项目（C类）</w:t>
      </w:r>
    </w:p>
    <w:p w14:paraId="56CDD9EE">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15.大企业裂变式发展推动青岛市“四链”深度融合研究</w:t>
      </w:r>
    </w:p>
    <w:p w14:paraId="0A4A2CF1">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探索以大企业裂变式发展为核心的“四链”深度融合模式，深入挖掘青岛市“四链”融合的相关典型案例，通过对我市大企业裂变式发展推动“四链”深度融合的理论内涵与主要特征、创新动能与合作机制、融合模式与演化路径、生态构建与政策保障，以及如何培育新质生产力，发挥优势推动“四链”深度融合等方面的研究，提炼总结一套可复制的“四链”融合“青岛模式”，进一步发挥青岛市科技型骨干企业引领作用，巩固“四链”深度融合领域优势地位。</w:t>
      </w:r>
    </w:p>
    <w:p w14:paraId="42E4FC53">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申报方式：公开申报</w:t>
      </w:r>
    </w:p>
    <w:p w14:paraId="52000F49">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考核指标：完成研究报告，提出大企业裂变式发展推动我市“四链”深度融合的“青岛模式”。</w:t>
      </w:r>
    </w:p>
    <w:p w14:paraId="41E978E7">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项目研究期：2025年1月-2025年12月</w:t>
      </w:r>
    </w:p>
    <w:p w14:paraId="281B8E5B">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资金支持：不超过10万元</w:t>
      </w:r>
    </w:p>
    <w:p w14:paraId="74A7F6CC">
      <w:pPr>
        <w:pStyle w:val="15"/>
        <w:widowControl w:val="0"/>
        <w:spacing w:line="560" w:lineRule="exact"/>
        <w:ind w:left="0" w:firstLine="643"/>
        <w:rPr>
          <w:rFonts w:ascii="仿宋_GB2312" w:hAnsi="仿宋_GB2312" w:eastAsia="仿宋_GB2312" w:cs="仿宋_GB2312"/>
          <w:color w:val="auto"/>
          <w:spacing w:val="0"/>
          <w:sz w:val="32"/>
          <w:lang w:eastAsia="zh-CN"/>
        </w:rPr>
      </w:pPr>
      <w:r>
        <w:rPr>
          <w:rFonts w:hint="eastAsia" w:ascii="仿宋_GB2312" w:hAnsi="仿宋_GB2312" w:eastAsia="仿宋_GB2312" w:cs="仿宋_GB2312"/>
          <w:b/>
          <w:bCs/>
          <w:color w:val="auto"/>
          <w:spacing w:val="0"/>
          <w:sz w:val="32"/>
          <w:lang w:eastAsia="zh-CN"/>
        </w:rPr>
        <w:t>16.科技创新对青岛市高水平对外开放的推动作用研究</w:t>
      </w:r>
    </w:p>
    <w:p w14:paraId="75B9D499">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聚焦科技创新对青岛市高水平对外开放的推动作用，梳理分析科技创新如何推动青岛自贸片区等对外开放平台在制度层面的创新，包括贸易便利化、投资自由化、金融开放等方面的政策优化和改革，以及科技创新如何促进青岛与国际先进地区在科技、教育、文化等领域的交流与合作，吸引更多的国际科技资源和人才来青创新创业等问题，总结青岛市对外开放的现状、发展趋势和面临的挑战，提出具有针对性的科技创新政策及举措，提高青岛市对外开放水平。</w:t>
      </w:r>
    </w:p>
    <w:p w14:paraId="3BF54D90">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申报方式：公开申报</w:t>
      </w:r>
    </w:p>
    <w:p w14:paraId="4FEBA11A">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w:t>
      </w:r>
      <w:r>
        <w:rPr>
          <w:rFonts w:hint="eastAsia" w:ascii="仿宋_GB2312" w:hAnsi="仿宋_GB2312" w:eastAsia="仿宋_GB2312" w:cs="仿宋_GB2312"/>
          <w:color w:val="auto"/>
          <w:sz w:val="32"/>
          <w:lang w:eastAsia="zh-CN"/>
        </w:rPr>
        <w:t>完成研究报告，提出科技创新推动青岛市高水平对外开放的针对性政策和举措建议，为政府决策提供参考。</w:t>
      </w:r>
    </w:p>
    <w:p w14:paraId="77CDF7DE">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2597AEB8">
      <w:pPr>
        <w:pStyle w:val="15"/>
        <w:widowControl w:val="0"/>
        <w:spacing w:line="560" w:lineRule="exact"/>
        <w:ind w:left="0" w:firstLine="640"/>
        <w:rPr>
          <w:rFonts w:ascii="仿宋_GB2312" w:hAnsi="仿宋_GB2312" w:eastAsia="仿宋_GB2312" w:cs="仿宋_GB2312"/>
          <w:color w:val="auto"/>
          <w:spacing w:val="0"/>
          <w:sz w:val="32"/>
          <w:highlight w:val="yellow"/>
          <w:lang w:eastAsia="zh-CN"/>
        </w:rPr>
      </w:pPr>
      <w:r>
        <w:rPr>
          <w:rFonts w:hint="eastAsia" w:ascii="仿宋_GB2312" w:hAnsi="仿宋_GB2312" w:eastAsia="仿宋_GB2312" w:cs="仿宋_GB2312"/>
          <w:color w:val="auto"/>
          <w:spacing w:val="0"/>
          <w:sz w:val="32"/>
          <w:lang w:eastAsia="zh-CN"/>
        </w:rPr>
        <w:t>资金支持：不超过10万元</w:t>
      </w:r>
    </w:p>
    <w:p w14:paraId="597BEEF5">
      <w:pPr>
        <w:pStyle w:val="15"/>
        <w:widowControl w:val="0"/>
        <w:spacing w:line="560" w:lineRule="exact"/>
        <w:ind w:left="0" w:firstLine="643"/>
        <w:rPr>
          <w:rFonts w:ascii="仿宋_GB2312" w:hAnsi="仿宋_GB2312" w:eastAsia="仿宋_GB2312" w:cs="仿宋_GB2312"/>
          <w:color w:val="auto"/>
          <w:spacing w:val="0"/>
          <w:sz w:val="32"/>
          <w:lang w:eastAsia="zh-CN"/>
        </w:rPr>
      </w:pPr>
      <w:r>
        <w:rPr>
          <w:rFonts w:hint="eastAsia" w:ascii="仿宋_GB2312" w:hAnsi="仿宋_GB2312" w:eastAsia="仿宋_GB2312" w:cs="仿宋_GB2312"/>
          <w:b/>
          <w:bCs/>
          <w:color w:val="auto"/>
          <w:spacing w:val="0"/>
          <w:sz w:val="32"/>
          <w:lang w:eastAsia="zh-CN"/>
        </w:rPr>
        <w:t>17.青岛市外籍人才综合服务改革路径研究</w:t>
      </w:r>
    </w:p>
    <w:p w14:paraId="777802A9">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聚焦青岛市外籍人才来青后，在工作生活等方面涉及的综合服务保障，调研分析青岛市加强外籍人才综合服务保障的必要性及面临的形势，总结我市在外籍人才综合服务保障方面的现状与存在的问题，并针对青岛市外籍人才综合服务保障方面存在的堵点痛点，提出改革路径和对策建议，推动青岛构建具有竞争力的外国人才服务保障制度体系。</w:t>
      </w:r>
    </w:p>
    <w:p w14:paraId="3172258F">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申报方式：公开申报</w:t>
      </w:r>
    </w:p>
    <w:p w14:paraId="7914FE38">
      <w:pPr>
        <w:pStyle w:val="15"/>
        <w:widowControl w:val="0"/>
        <w:spacing w:line="560" w:lineRule="exact"/>
        <w:ind w:left="0"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pacing w:val="0"/>
          <w:sz w:val="32"/>
          <w:lang w:eastAsia="zh-CN"/>
        </w:rPr>
        <w:t>考核指标：</w:t>
      </w:r>
      <w:r>
        <w:rPr>
          <w:rFonts w:hint="eastAsia" w:ascii="仿宋_GB2312" w:hAnsi="仿宋_GB2312" w:eastAsia="仿宋_GB2312" w:cs="仿宋_GB2312"/>
          <w:color w:val="auto"/>
          <w:sz w:val="32"/>
          <w:lang w:eastAsia="zh-CN"/>
        </w:rPr>
        <w:t>完成研究报告，</w:t>
      </w:r>
      <w:r>
        <w:rPr>
          <w:rFonts w:hint="eastAsia" w:ascii="仿宋_GB2312" w:hAnsi="仿宋_GB2312" w:eastAsia="仿宋_GB2312" w:cs="仿宋_GB2312"/>
          <w:color w:val="auto"/>
          <w:spacing w:val="0"/>
          <w:sz w:val="32"/>
          <w:lang w:eastAsia="zh-CN"/>
        </w:rPr>
        <w:t>提出加强我市外籍人才综合服务保障的改革路径和对策建议，</w:t>
      </w:r>
      <w:r>
        <w:rPr>
          <w:rFonts w:hint="eastAsia" w:ascii="仿宋_GB2312" w:hAnsi="仿宋_GB2312" w:eastAsia="仿宋_GB2312" w:cs="仿宋_GB2312"/>
          <w:color w:val="auto"/>
          <w:sz w:val="32"/>
          <w:lang w:eastAsia="zh-CN"/>
        </w:rPr>
        <w:t>为政府提供决策参考</w:t>
      </w:r>
    </w:p>
    <w:p w14:paraId="47D8184F">
      <w:pPr>
        <w:pStyle w:val="15"/>
        <w:widowControl w:val="0"/>
        <w:spacing w:line="560" w:lineRule="exact"/>
        <w:ind w:left="0" w:firstLine="640"/>
        <w:rPr>
          <w:rFonts w:hint="eastAsia" w:ascii="仿宋_GB2312" w:hAnsi="仿宋_GB2312" w:eastAsia="仿宋_GB2312" w:cs="仿宋_GB2312"/>
          <w:color w:val="auto"/>
          <w:sz w:val="32"/>
          <w:lang w:eastAsia="zh-CN"/>
        </w:rPr>
        <w:sectPr>
          <w:headerReference r:id="rId5" w:type="default"/>
          <w:footerReference r:id="rId6" w:type="default"/>
          <w:pgSz w:w="11906" w:h="16838"/>
          <w:pgMar w:top="2098" w:right="1474" w:bottom="1984" w:left="1587" w:header="851" w:footer="992" w:gutter="0"/>
          <w:pgNumType w:fmt="numberInDash"/>
          <w:cols w:space="0" w:num="1"/>
          <w:rtlGutter w:val="0"/>
          <w:docGrid w:type="lines" w:linePitch="312" w:charSpace="0"/>
        </w:sectPr>
      </w:pPr>
    </w:p>
    <w:p w14:paraId="45451F3E">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7200645B">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资金支持：不超过10万元</w:t>
      </w:r>
    </w:p>
    <w:p w14:paraId="4AF7C342">
      <w:pPr>
        <w:pStyle w:val="15"/>
        <w:widowControl w:val="0"/>
        <w:spacing w:line="560" w:lineRule="exact"/>
        <w:ind w:left="0" w:firstLine="643"/>
        <w:rPr>
          <w:rFonts w:ascii="仿宋_GB2312" w:hAnsi="仿宋_GB2312" w:eastAsia="仿宋_GB2312" w:cs="仿宋_GB2312"/>
          <w:b/>
          <w:bCs/>
          <w:color w:val="auto"/>
          <w:spacing w:val="0"/>
          <w:sz w:val="32"/>
          <w:lang w:eastAsia="zh-CN"/>
        </w:rPr>
      </w:pPr>
      <w:r>
        <w:rPr>
          <w:rFonts w:hint="eastAsia" w:ascii="仿宋_GB2312" w:hAnsi="仿宋_GB2312" w:eastAsia="仿宋_GB2312" w:cs="仿宋_GB2312"/>
          <w:b/>
          <w:bCs/>
          <w:color w:val="auto"/>
          <w:spacing w:val="0"/>
          <w:sz w:val="32"/>
          <w:lang w:eastAsia="zh-CN"/>
        </w:rPr>
        <w:t>18.青岛市合成生物未来产业发展策略研究</w:t>
      </w:r>
    </w:p>
    <w:p w14:paraId="0B2F4D7B">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研究内容：</w:t>
      </w:r>
      <w:r>
        <w:rPr>
          <w:rFonts w:hint="eastAsia" w:ascii="仿宋_GB2312" w:hAnsi="仿宋_GB2312" w:eastAsia="仿宋_GB2312" w:cs="仿宋_GB2312"/>
          <w:color w:val="auto"/>
          <w:sz w:val="32"/>
          <w:lang w:eastAsia="zh-CN"/>
        </w:rPr>
        <w:t>聚焦青岛市合成生物未来产业培育发展，梳理青岛市合成生物未来产业的创新平台、企业等创新资源情况，梳理国内外合成生物产业先进技术、重点企业、研发机构、人才团队及政策措施，总结国内外未来产业培育经验做法及模式路径，对比分析青岛存在问题和发展机遇，提出青岛发展合成生物未来产业的目标、方向、任务、布局和举措建议等，绘制合成生物产业链技术图谱、产业链招商图谱、产业链科研图谱、领军人才团队图谱，形成合成生物产业发展战略研究报告。</w:t>
      </w:r>
    </w:p>
    <w:p w14:paraId="0461EDBF">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申报方式：公开申报</w:t>
      </w:r>
    </w:p>
    <w:p w14:paraId="7E673DFE">
      <w:pPr>
        <w:pStyle w:val="15"/>
        <w:widowControl w:val="0"/>
        <w:spacing w:line="560" w:lineRule="exact"/>
        <w:ind w:left="0" w:firstLine="640"/>
        <w:rPr>
          <w:rFonts w:ascii="仿宋_GB2312" w:hAnsi="仿宋_GB2312" w:eastAsia="仿宋_GB2312" w:cs="仿宋_GB2312"/>
          <w:color w:val="auto"/>
          <w:spacing w:val="0"/>
          <w:sz w:val="32"/>
          <w:lang w:eastAsia="zh-CN"/>
        </w:rPr>
      </w:pPr>
      <w:r>
        <w:rPr>
          <w:rFonts w:hint="eastAsia" w:ascii="仿宋_GB2312" w:hAnsi="仿宋_GB2312" w:eastAsia="仿宋_GB2312" w:cs="仿宋_GB2312"/>
          <w:color w:val="auto"/>
          <w:spacing w:val="0"/>
          <w:sz w:val="32"/>
          <w:lang w:eastAsia="zh-CN"/>
        </w:rPr>
        <w:t>考核指标：</w:t>
      </w:r>
      <w:r>
        <w:rPr>
          <w:rFonts w:hint="eastAsia" w:ascii="仿宋_GB2312" w:hAnsi="仿宋_GB2312" w:eastAsia="仿宋_GB2312" w:cs="仿宋_GB2312"/>
          <w:color w:val="auto"/>
          <w:sz w:val="32"/>
          <w:lang w:eastAsia="zh-CN"/>
        </w:rPr>
        <w:t>完成研究报告，提出青岛发展合成生物未来产业的举措和建议。</w:t>
      </w:r>
    </w:p>
    <w:p w14:paraId="2FC74D1F">
      <w:pPr>
        <w:widowControl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项目研究期：2025年1月-2025年12月</w:t>
      </w:r>
    </w:p>
    <w:p w14:paraId="31787E14">
      <w:pPr>
        <w:ind w:firstLine="640" w:firstLineChars="200"/>
        <w:outlineLvl w:val="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资金支持：不超过10万元</w:t>
      </w:r>
    </w:p>
    <w:sectPr>
      <w:type w:val="continuous"/>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5110">
    <w:pPr>
      <w:pStyle w:val="7"/>
      <w:jc w:val="center"/>
      <w:rPr>
        <w:rFonts w:ascii="楷体_GB2312" w:hAnsi="宋体" w:eastAsia="楷体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14A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3YmM3YzU0MGYyYmRkM2QyZDAxZmVjMDdmNTI0ZTAifQ=="/>
  </w:docVars>
  <w:rsids>
    <w:rsidRoot w:val="00F263C9"/>
    <w:rsid w:val="00006795"/>
    <w:rsid w:val="000607BD"/>
    <w:rsid w:val="00064A49"/>
    <w:rsid w:val="000B4235"/>
    <w:rsid w:val="000D5949"/>
    <w:rsid w:val="00134D85"/>
    <w:rsid w:val="001365AF"/>
    <w:rsid w:val="00154678"/>
    <w:rsid w:val="00154B91"/>
    <w:rsid w:val="00171FF8"/>
    <w:rsid w:val="001736FF"/>
    <w:rsid w:val="001845DD"/>
    <w:rsid w:val="00190294"/>
    <w:rsid w:val="001A5F6A"/>
    <w:rsid w:val="001D1071"/>
    <w:rsid w:val="00200F64"/>
    <w:rsid w:val="002024C3"/>
    <w:rsid w:val="0021197A"/>
    <w:rsid w:val="00213EC2"/>
    <w:rsid w:val="00232CDD"/>
    <w:rsid w:val="0026530B"/>
    <w:rsid w:val="002665C7"/>
    <w:rsid w:val="002C697A"/>
    <w:rsid w:val="00327416"/>
    <w:rsid w:val="00342CD6"/>
    <w:rsid w:val="0038096F"/>
    <w:rsid w:val="003A3A1B"/>
    <w:rsid w:val="003B7A39"/>
    <w:rsid w:val="003C0829"/>
    <w:rsid w:val="003F27B7"/>
    <w:rsid w:val="004004AA"/>
    <w:rsid w:val="00410F6B"/>
    <w:rsid w:val="00455D49"/>
    <w:rsid w:val="0048486D"/>
    <w:rsid w:val="004F1501"/>
    <w:rsid w:val="004F3159"/>
    <w:rsid w:val="00500C9F"/>
    <w:rsid w:val="00512F15"/>
    <w:rsid w:val="00512F38"/>
    <w:rsid w:val="00522D07"/>
    <w:rsid w:val="00566D87"/>
    <w:rsid w:val="00594C81"/>
    <w:rsid w:val="005C3E3C"/>
    <w:rsid w:val="005E6747"/>
    <w:rsid w:val="005F67EB"/>
    <w:rsid w:val="00627F32"/>
    <w:rsid w:val="006353FF"/>
    <w:rsid w:val="0067074C"/>
    <w:rsid w:val="00672F09"/>
    <w:rsid w:val="00680A66"/>
    <w:rsid w:val="006C6AF4"/>
    <w:rsid w:val="006E04B0"/>
    <w:rsid w:val="006F4631"/>
    <w:rsid w:val="007321B3"/>
    <w:rsid w:val="00766706"/>
    <w:rsid w:val="007830E4"/>
    <w:rsid w:val="007E1BF1"/>
    <w:rsid w:val="007E3DFD"/>
    <w:rsid w:val="007F597A"/>
    <w:rsid w:val="0080487C"/>
    <w:rsid w:val="008337F0"/>
    <w:rsid w:val="00862143"/>
    <w:rsid w:val="00885A35"/>
    <w:rsid w:val="0089672D"/>
    <w:rsid w:val="008A48DD"/>
    <w:rsid w:val="008A6C69"/>
    <w:rsid w:val="008C35F4"/>
    <w:rsid w:val="00913408"/>
    <w:rsid w:val="00927C8C"/>
    <w:rsid w:val="00927DF7"/>
    <w:rsid w:val="009313E7"/>
    <w:rsid w:val="009B346B"/>
    <w:rsid w:val="009C2E3D"/>
    <w:rsid w:val="009C4C19"/>
    <w:rsid w:val="009D0C70"/>
    <w:rsid w:val="009D367F"/>
    <w:rsid w:val="00A105B3"/>
    <w:rsid w:val="00A32CA1"/>
    <w:rsid w:val="00A45BFB"/>
    <w:rsid w:val="00A45C4A"/>
    <w:rsid w:val="00A67ADD"/>
    <w:rsid w:val="00A8590F"/>
    <w:rsid w:val="00AB227B"/>
    <w:rsid w:val="00B023BF"/>
    <w:rsid w:val="00B036B7"/>
    <w:rsid w:val="00B051CE"/>
    <w:rsid w:val="00B26FF8"/>
    <w:rsid w:val="00B41984"/>
    <w:rsid w:val="00B54EB9"/>
    <w:rsid w:val="00B60FDD"/>
    <w:rsid w:val="00B72BCC"/>
    <w:rsid w:val="00B8569A"/>
    <w:rsid w:val="00BC4A2A"/>
    <w:rsid w:val="00BD40E2"/>
    <w:rsid w:val="00C10D88"/>
    <w:rsid w:val="00C1564D"/>
    <w:rsid w:val="00C37F1C"/>
    <w:rsid w:val="00C51E98"/>
    <w:rsid w:val="00C629EC"/>
    <w:rsid w:val="00C674D3"/>
    <w:rsid w:val="00C71FF3"/>
    <w:rsid w:val="00C72C36"/>
    <w:rsid w:val="00CA0B97"/>
    <w:rsid w:val="00CA2A52"/>
    <w:rsid w:val="00CA3D46"/>
    <w:rsid w:val="00CD3570"/>
    <w:rsid w:val="00CE439E"/>
    <w:rsid w:val="00D00330"/>
    <w:rsid w:val="00D03958"/>
    <w:rsid w:val="00D2594F"/>
    <w:rsid w:val="00D26BFC"/>
    <w:rsid w:val="00D32713"/>
    <w:rsid w:val="00D33426"/>
    <w:rsid w:val="00D56D25"/>
    <w:rsid w:val="00D81D12"/>
    <w:rsid w:val="00D835A9"/>
    <w:rsid w:val="00DF0547"/>
    <w:rsid w:val="00E156AD"/>
    <w:rsid w:val="00E156B0"/>
    <w:rsid w:val="00E233F2"/>
    <w:rsid w:val="00E54675"/>
    <w:rsid w:val="00E70894"/>
    <w:rsid w:val="00EA3FD2"/>
    <w:rsid w:val="00EA71AD"/>
    <w:rsid w:val="00EC7DDD"/>
    <w:rsid w:val="00F067B1"/>
    <w:rsid w:val="00F1396F"/>
    <w:rsid w:val="00F263C9"/>
    <w:rsid w:val="00F273AE"/>
    <w:rsid w:val="00F44846"/>
    <w:rsid w:val="00F6432A"/>
    <w:rsid w:val="00F77936"/>
    <w:rsid w:val="00F9260E"/>
    <w:rsid w:val="00FA6502"/>
    <w:rsid w:val="00FA679D"/>
    <w:rsid w:val="00FB43AB"/>
    <w:rsid w:val="00FC26A7"/>
    <w:rsid w:val="00FE2CE5"/>
    <w:rsid w:val="00FF03A6"/>
    <w:rsid w:val="108D5222"/>
    <w:rsid w:val="15172342"/>
    <w:rsid w:val="1DFE1EC2"/>
    <w:rsid w:val="20DC6F92"/>
    <w:rsid w:val="3D8033C1"/>
    <w:rsid w:val="3EF76ADE"/>
    <w:rsid w:val="45626B1C"/>
    <w:rsid w:val="46223677"/>
    <w:rsid w:val="47F8F0A4"/>
    <w:rsid w:val="4FBF9A54"/>
    <w:rsid w:val="50A10C7F"/>
    <w:rsid w:val="5B236F9D"/>
    <w:rsid w:val="5DBAA801"/>
    <w:rsid w:val="5DFF5860"/>
    <w:rsid w:val="5E37C7EE"/>
    <w:rsid w:val="5F97A98B"/>
    <w:rsid w:val="5FED1B27"/>
    <w:rsid w:val="5FFF9815"/>
    <w:rsid w:val="70C62214"/>
    <w:rsid w:val="752C1038"/>
    <w:rsid w:val="76D2106A"/>
    <w:rsid w:val="79776F22"/>
    <w:rsid w:val="7DFB3C60"/>
    <w:rsid w:val="7DFB50EA"/>
    <w:rsid w:val="7FAA5EF3"/>
    <w:rsid w:val="7FF51779"/>
    <w:rsid w:val="939A7CAC"/>
    <w:rsid w:val="965FEBFF"/>
    <w:rsid w:val="A7AD9085"/>
    <w:rsid w:val="BE9BCC0E"/>
    <w:rsid w:val="BFEBC301"/>
    <w:rsid w:val="DBDEE797"/>
    <w:rsid w:val="DE4F3A65"/>
    <w:rsid w:val="DF2792D2"/>
    <w:rsid w:val="DFDF5C26"/>
    <w:rsid w:val="E4BFC5A7"/>
    <w:rsid w:val="E577A925"/>
    <w:rsid w:val="E5973E23"/>
    <w:rsid w:val="EE7C0FB5"/>
    <w:rsid w:val="F3D56EC0"/>
    <w:rsid w:val="F6DE9035"/>
    <w:rsid w:val="F7759C4C"/>
    <w:rsid w:val="F91F7D11"/>
    <w:rsid w:val="FAF7F915"/>
    <w:rsid w:val="FF7F9F2B"/>
    <w:rsid w:val="FFDFD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00" w:afterAutospacing="1"/>
      <w:ind w:left="0" w:leftChars="0" w:firstLine="420" w:firstLineChars="200"/>
    </w:pPr>
    <w:rPr>
      <w:rFonts w:ascii="宋体" w:hAnsi="宋体"/>
      <w:sz w:val="24"/>
      <w:szCs w:val="20"/>
    </w:rPr>
  </w:style>
  <w:style w:type="paragraph" w:styleId="3">
    <w:name w:val="Body Text Indent"/>
    <w:basedOn w:val="1"/>
    <w:next w:val="4"/>
    <w:qFormat/>
    <w:uiPriority w:val="0"/>
    <w:pPr>
      <w:spacing w:after="120"/>
      <w:ind w:left="420" w:leftChars="200"/>
    </w:pPr>
    <w:rPr>
      <w:rFonts w:ascii="Times New Roman" w:hAnsi="Times New Roman" w:cs="Times New Roman"/>
    </w:rPr>
  </w:style>
  <w:style w:type="paragraph" w:styleId="4">
    <w:name w:val="Normal Indent"/>
    <w:basedOn w:val="1"/>
    <w:next w:val="1"/>
    <w:qFormat/>
    <w:uiPriority w:val="0"/>
    <w:pPr>
      <w:widowControl w:val="0"/>
      <w:ind w:firstLine="420"/>
    </w:pPr>
    <w:rPr>
      <w:rFonts w:cs="Times New Roman"/>
      <w:szCs w:val="24"/>
    </w:r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qFormat/>
    <w:uiPriority w:val="99"/>
    <w:rPr>
      <w:rFonts w:ascii="仿宋_GB2312" w:eastAsia="仿宋_GB2312"/>
      <w:sz w:val="28"/>
    </w:rPr>
  </w:style>
  <w:style w:type="paragraph" w:styleId="10">
    <w:name w:val="Title"/>
    <w:basedOn w:val="1"/>
    <w:next w:val="1"/>
    <w:qFormat/>
    <w:uiPriority w:val="99"/>
    <w:pPr>
      <w:spacing w:before="240" w:after="60"/>
      <w:jc w:val="center"/>
      <w:outlineLvl w:val="0"/>
    </w:pPr>
    <w:rPr>
      <w:rFonts w:ascii="Arial" w:hAnsi="Arial" w:cs="Arial"/>
      <w:b/>
      <w:bCs/>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正文首行缩进 21"/>
    <w:basedOn w:val="16"/>
    <w:qFormat/>
    <w:uiPriority w:val="0"/>
    <w:pPr>
      <w:spacing w:line="300" w:lineRule="auto"/>
      <w:ind w:firstLine="420"/>
      <w:jc w:val="left"/>
      <w:textAlignment w:val="baseline"/>
    </w:pPr>
    <w:rPr>
      <w:rFonts w:ascii="Arial" w:hAnsi="Arial" w:eastAsia="宋体" w:cs="Times New Roman"/>
      <w:color w:val="000000"/>
      <w:sz w:val="22"/>
      <w:lang w:eastAsia="en-US"/>
    </w:rPr>
  </w:style>
  <w:style w:type="paragraph" w:customStyle="1" w:styleId="16">
    <w:name w:val="正文文本缩进1"/>
    <w:basedOn w:val="1"/>
    <w:qFormat/>
    <w:uiPriority w:val="0"/>
    <w:pPr>
      <w:adjustRightInd w:val="0"/>
      <w:snapToGrid w:val="0"/>
      <w:spacing w:line="360" w:lineRule="auto"/>
      <w:ind w:left="1680" w:hanging="990" w:firstLineChars="200"/>
    </w:pPr>
    <w:rPr>
      <w:rFonts w:ascii="仿宋_GB2312" w:hAnsi="Times New Roman" w:eastAsia="仿宋_GB2312" w:cs="仿宋_GB2312"/>
      <w:spacing w:val="-4"/>
      <w:sz w:val="32"/>
      <w:szCs w:val="32"/>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3"/>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11</Pages>
  <Words>6881</Words>
  <Characters>7204</Characters>
  <Lines>51</Lines>
  <Paragraphs>14</Paragraphs>
  <TotalTime>3</TotalTime>
  <ScaleCrop>false</ScaleCrop>
  <LinksUpToDate>false</LinksUpToDate>
  <CharactersWithSpaces>7267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2022-01-12T15:38:00Z</dcterms:created>
  <dc:creator>HP Inc.</dc:creator>
  <cp:lastModifiedBy>小解</cp:lastModifiedBy>
  <cp:lastPrinted>2024-10-12T07:07:00Z</cp:lastPrinted>
  <dcterms:modified xsi:type="dcterms:W3CDTF">2024-10-17T01:12:26Z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EC1ED6677E94455F86FF5932F034C4C4_13</vt:lpwstr>
  </property>
</Properties>
</file>