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spacing w:after="0"/>
        <w:ind w:firstLine="0" w:firstLineChars="0"/>
        <w:jc w:val="center"/>
        <w:rPr>
          <w:rFonts w:eastAsia="方正小标宋_GBK"/>
          <w:sz w:val="44"/>
          <w:szCs w:val="44"/>
        </w:rPr>
      </w:pPr>
      <w:bookmarkStart w:id="1" w:name="_GoBack"/>
      <w:bookmarkEnd w:id="1"/>
      <w:r>
        <w:rPr>
          <w:rFonts w:hint="default" w:ascii="Times New Roman" w:hAnsi="Times New Roman" w:eastAsia="方正小标宋_GBK" w:cs="Times New Roman"/>
          <w:sz w:val="32"/>
          <w:szCs w:val="32"/>
        </w:rPr>
        <w:drawing>
          <wp:anchor distT="0" distB="0" distL="0" distR="0" simplePos="0" relativeHeight="251659264" behindDoc="0" locked="0" layoutInCell="1" allowOverlap="1">
            <wp:simplePos x="0" y="0"/>
            <wp:positionH relativeFrom="column">
              <wp:posOffset>95250</wp:posOffset>
            </wp:positionH>
            <wp:positionV relativeFrom="page">
              <wp:posOffset>1576705</wp:posOffset>
            </wp:positionV>
            <wp:extent cx="5333365" cy="733425"/>
            <wp:effectExtent l="0" t="0" r="635" b="9525"/>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333365" cy="733425"/>
                    </a:xfrm>
                    <a:prstGeom prst="rect">
                      <a:avLst/>
                    </a:prstGeom>
                    <a:noFill/>
                  </pic:spPr>
                </pic:pic>
              </a:graphicData>
            </a:graphic>
          </wp:anchor>
        </w:drawing>
      </w:r>
    </w:p>
    <w:p>
      <w:pPr>
        <w:pStyle w:val="20"/>
        <w:spacing w:after="0"/>
        <w:ind w:firstLine="0" w:firstLineChars="0"/>
        <w:jc w:val="center"/>
        <w:rPr>
          <w:rFonts w:hint="eastAsia" w:ascii="Times New Roman" w:hAnsi="Times New Roman" w:eastAsia="方正小标宋_GBK" w:cs="Times New Roman"/>
          <w:w w:val="95"/>
          <w:sz w:val="44"/>
          <w:szCs w:val="44"/>
          <w:lang w:val="en-US" w:eastAsia="zh-CN"/>
        </w:rPr>
      </w:pPr>
      <w:r>
        <w:rPr>
          <w:rFonts w:hint="eastAsia" w:eastAsia="方正小标宋_GBK"/>
          <w:w w:val="95"/>
          <w:sz w:val="44"/>
          <w:szCs w:val="44"/>
          <w:lang w:eastAsia="zh-CN"/>
        </w:rPr>
        <w:t>青岛市发展和改革委员会</w:t>
      </w:r>
      <w:r>
        <w:rPr>
          <w:rFonts w:hint="eastAsia" w:eastAsia="方正小标宋_GBK"/>
          <w:w w:val="95"/>
          <w:sz w:val="44"/>
          <w:szCs w:val="44"/>
          <w:lang w:val="en-US" w:eastAsia="zh-CN"/>
        </w:rPr>
        <w:t xml:space="preserve"> </w:t>
      </w:r>
      <w:r>
        <w:rPr>
          <w:rFonts w:hint="eastAsia" w:ascii="Times New Roman" w:hAnsi="Times New Roman" w:eastAsia="方正小标宋_GBK" w:cs="Times New Roman"/>
          <w:w w:val="95"/>
          <w:sz w:val="44"/>
          <w:szCs w:val="44"/>
        </w:rPr>
        <w:t>青岛市科学技术局</w:t>
      </w:r>
    </w:p>
    <w:p>
      <w:pPr>
        <w:pStyle w:val="20"/>
        <w:spacing w:after="0"/>
        <w:ind w:firstLine="0" w:firstLineChars="0"/>
        <w:jc w:val="center"/>
        <w:rPr>
          <w:rFonts w:hint="default" w:eastAsia="方正小标宋_GBK"/>
          <w:w w:val="95"/>
          <w:sz w:val="44"/>
          <w:szCs w:val="44"/>
          <w:lang w:val="en-US" w:eastAsia="zh-CN"/>
        </w:rPr>
      </w:pPr>
      <w:r>
        <w:rPr>
          <w:rFonts w:hint="eastAsia" w:eastAsia="方正小标宋_GBK"/>
          <w:w w:val="95"/>
          <w:sz w:val="44"/>
          <w:szCs w:val="44"/>
          <w:lang w:val="en-US" w:eastAsia="zh-CN"/>
        </w:rPr>
        <w:t>青岛市卫生健康委员会 青岛市市场监督管理局</w:t>
      </w:r>
    </w:p>
    <w:p>
      <w:pPr>
        <w:pStyle w:val="20"/>
        <w:spacing w:after="0"/>
        <w:ind w:firstLine="0" w:firstLineChars="0"/>
        <w:jc w:val="center"/>
        <w:rPr>
          <w:rFonts w:eastAsia="方正小标宋_GBK"/>
          <w:sz w:val="44"/>
          <w:szCs w:val="44"/>
        </w:rPr>
      </w:pPr>
      <w:r>
        <w:rPr>
          <w:rFonts w:hint="eastAsia" w:eastAsia="方正小标宋_GBK"/>
          <w:sz w:val="44"/>
          <w:szCs w:val="44"/>
        </w:rPr>
        <w:t>关于组织开展省级区域细胞制备中心预申报工作的通知</w:t>
      </w:r>
    </w:p>
    <w:p>
      <w:pPr>
        <w:pStyle w:val="20"/>
        <w:spacing w:after="0"/>
        <w:ind w:firstLine="880"/>
        <w:jc w:val="center"/>
        <w:rPr>
          <w:rFonts w:eastAsia="方正小标宋_GBK"/>
          <w:sz w:val="44"/>
          <w:szCs w:val="44"/>
        </w:rPr>
      </w:pPr>
    </w:p>
    <w:p>
      <w:pPr>
        <w:snapToGrid w:val="0"/>
        <w:ind w:firstLine="0" w:firstLineChars="0"/>
        <w:rPr>
          <w:szCs w:val="32"/>
        </w:rPr>
      </w:pPr>
      <w:r>
        <w:rPr>
          <w:rFonts w:hint="eastAsia"/>
          <w:szCs w:val="32"/>
        </w:rPr>
        <w:t>各区（市）、功能区发展改革局、科技局、卫生健康局、市场监管局，各有关高校、科研院所、医疗机构</w:t>
      </w:r>
      <w:r>
        <w:rPr>
          <w:szCs w:val="32"/>
        </w:rPr>
        <w:t>：</w:t>
      </w:r>
    </w:p>
    <w:p>
      <w:pPr>
        <w:pStyle w:val="14"/>
        <w:spacing w:line="560" w:lineRule="exact"/>
        <w:ind w:firstLine="640"/>
        <w:rPr>
          <w:sz w:val="32"/>
          <w:szCs w:val="32"/>
        </w:rPr>
      </w:pPr>
      <w:r>
        <w:rPr>
          <w:rFonts w:hint="eastAsia"/>
          <w:sz w:val="32"/>
          <w:szCs w:val="32"/>
        </w:rPr>
        <w:t>为做好山东省区域细胞制备中心申报储备工作，根据《山东省区域细胞制备中心暂行管理办法》（</w:t>
      </w:r>
      <w:r>
        <w:rPr>
          <w:rFonts w:hint="eastAsia" w:eastAsia="楷体_GB2312" w:cs="Times New Roman"/>
          <w:sz w:val="32"/>
          <w:szCs w:val="32"/>
        </w:rPr>
        <w:t>鲁发改</w:t>
      </w:r>
      <w:r>
        <w:rPr>
          <w:rFonts w:ascii="Times New Roman" w:hAnsi="Times New Roman" w:eastAsia="楷体_GB2312" w:cs="Times New Roman"/>
          <w:sz w:val="32"/>
          <w:szCs w:val="32"/>
        </w:rPr>
        <w:t>高技〔2026〕</w:t>
      </w:r>
      <w:r>
        <w:rPr>
          <w:rFonts w:hint="eastAsia" w:ascii="Times New Roman" w:hAnsi="Times New Roman" w:eastAsia="楷体_GB2312" w:cs="Times New Roman"/>
          <w:sz w:val="32"/>
          <w:szCs w:val="32"/>
        </w:rPr>
        <w:t>439</w:t>
      </w:r>
      <w:r>
        <w:rPr>
          <w:rFonts w:ascii="Times New Roman" w:hAnsi="Times New Roman" w:eastAsia="楷体_GB2312" w:cs="Times New Roman"/>
          <w:sz w:val="32"/>
          <w:szCs w:val="32"/>
        </w:rPr>
        <w:t>号，以下简称《通知》</w:t>
      </w:r>
      <w:r>
        <w:rPr>
          <w:rFonts w:hint="eastAsia"/>
          <w:sz w:val="32"/>
          <w:szCs w:val="32"/>
        </w:rPr>
        <w:t>）要求，请组织有关企业、高校、科研院所、医疗机构准备申报材料，具体事项通知如下。</w:t>
      </w:r>
    </w:p>
    <w:p>
      <w:pPr>
        <w:ind w:firstLine="640"/>
        <w:rPr>
          <w:rFonts w:ascii="黑体" w:hAnsi="黑体" w:eastAsia="黑体"/>
          <w:kern w:val="0"/>
          <w:szCs w:val="32"/>
        </w:rPr>
      </w:pPr>
      <w:r>
        <w:rPr>
          <w:rFonts w:hint="eastAsia" w:ascii="黑体" w:hAnsi="黑体" w:eastAsia="黑体"/>
          <w:kern w:val="0"/>
          <w:szCs w:val="32"/>
        </w:rPr>
        <w:t>一</w:t>
      </w:r>
      <w:r>
        <w:rPr>
          <w:rFonts w:ascii="黑体" w:hAnsi="黑体" w:eastAsia="黑体"/>
          <w:kern w:val="0"/>
          <w:szCs w:val="32"/>
        </w:rPr>
        <w:t>、</w:t>
      </w:r>
      <w:r>
        <w:rPr>
          <w:rFonts w:hint="eastAsia" w:ascii="黑体" w:hAnsi="黑体" w:eastAsia="黑体"/>
          <w:kern w:val="0"/>
          <w:szCs w:val="32"/>
        </w:rPr>
        <w:t>申报条件</w:t>
      </w:r>
    </w:p>
    <w:p>
      <w:pPr>
        <w:ind w:firstLine="640"/>
        <w:rPr>
          <w:kern w:val="0"/>
          <w:szCs w:val="32"/>
          <w:lang w:val="en"/>
        </w:rPr>
      </w:pPr>
      <w:r>
        <w:rPr>
          <w:rFonts w:hint="eastAsia"/>
          <w:szCs w:val="32"/>
        </w:rPr>
        <w:t>根据《山东省区域细胞制备中心暂行管理办法》，</w:t>
      </w:r>
      <w:r>
        <w:rPr>
          <w:rFonts w:hint="eastAsia"/>
          <w:kern w:val="0"/>
          <w:szCs w:val="32"/>
          <w:lang w:val="en"/>
        </w:rPr>
        <w:t>拟申报的制备中心要求具备以下条件：</w:t>
      </w:r>
    </w:p>
    <w:p>
      <w:pPr>
        <w:ind w:firstLine="640"/>
        <w:rPr>
          <w:kern w:val="0"/>
          <w:szCs w:val="32"/>
          <w:lang w:val="en"/>
        </w:rPr>
      </w:pPr>
      <w:r>
        <w:rPr>
          <w:rFonts w:hint="eastAsia"/>
          <w:kern w:val="0"/>
          <w:szCs w:val="32"/>
          <w:lang w:val="en"/>
        </w:rPr>
        <w:t>（一）制备中心应由1家单位牵头，联合上下游企业、高校、科研院所、医疗机构等共同组建，在产学研用等方面密切协同。</w:t>
      </w:r>
    </w:p>
    <w:p>
      <w:pPr>
        <w:ind w:firstLine="640"/>
        <w:rPr>
          <w:kern w:val="0"/>
          <w:szCs w:val="32"/>
          <w:lang w:val="en"/>
        </w:rPr>
      </w:pPr>
      <w:r>
        <w:rPr>
          <w:rFonts w:hint="eastAsia"/>
          <w:kern w:val="0"/>
          <w:szCs w:val="32"/>
          <w:lang w:val="en"/>
        </w:rPr>
        <w:t>（二）牵头单位应为独立法人单位，具备符合国家标准的细胞制备条件，具有较强的细胞制备、检测、存储等经验与能力，能够持续投入建设经营；医疗机构应符合实施生物医学新技术临床研究有关要求。</w:t>
      </w:r>
    </w:p>
    <w:p>
      <w:pPr>
        <w:ind w:firstLine="640"/>
        <w:rPr>
          <w:kern w:val="0"/>
          <w:szCs w:val="32"/>
          <w:lang w:val="en"/>
        </w:rPr>
      </w:pPr>
      <w:r>
        <w:rPr>
          <w:rFonts w:hint="eastAsia"/>
          <w:kern w:val="0"/>
          <w:szCs w:val="32"/>
          <w:lang w:val="en"/>
        </w:rPr>
        <w:t>（三）制备中心选址、设计、布局和建设应符合《药品生产质量管理规范》《细胞治疗产品生产质量管理指南（试行）》要求，满足区域细胞制备要求；设立独立质检实验室，具备细胞种属鉴定、微生物安全性、生物学安全性等质控指标检测能力。</w:t>
      </w:r>
    </w:p>
    <w:p>
      <w:pPr>
        <w:ind w:firstLine="640"/>
        <w:rPr>
          <w:kern w:val="0"/>
          <w:szCs w:val="32"/>
          <w:lang w:val="en"/>
        </w:rPr>
      </w:pPr>
      <w:r>
        <w:rPr>
          <w:rFonts w:hint="eastAsia"/>
          <w:kern w:val="0"/>
          <w:szCs w:val="32"/>
          <w:lang w:val="en"/>
        </w:rPr>
        <w:t>（四）制备中心应具有高水平领军人才，配置相应的管理和专业人员</w:t>
      </w:r>
      <w:r>
        <w:rPr>
          <w:rFonts w:hint="eastAsia"/>
          <w:kern w:val="0"/>
          <w:szCs w:val="32"/>
          <w:lang w:val="en" w:eastAsia="zh-CN"/>
        </w:rPr>
        <w:t>。</w:t>
      </w:r>
    </w:p>
    <w:p>
      <w:pPr>
        <w:ind w:firstLine="640"/>
        <w:rPr>
          <w:kern w:val="0"/>
          <w:szCs w:val="32"/>
          <w:lang w:val="en"/>
        </w:rPr>
      </w:pPr>
      <w:r>
        <w:rPr>
          <w:rFonts w:hint="eastAsia"/>
          <w:kern w:val="0"/>
          <w:szCs w:val="32"/>
          <w:lang w:val="en"/>
        </w:rPr>
        <w:t>（五）制备中心应严格遵守国家人类遗传资源管理相关规定，建立细胞资源、原辅料耗材等信息数据库，实行“一人一码、一批一码”全流程追溯；细胞产品跨区域流通应符合国家药品监管、冷链运输相关要求，提供完整的检测报告和追溯信息。</w:t>
      </w:r>
    </w:p>
    <w:p>
      <w:pPr>
        <w:ind w:firstLine="640"/>
        <w:rPr>
          <w:kern w:val="0"/>
          <w:szCs w:val="32"/>
          <w:lang w:val="en"/>
        </w:rPr>
      </w:pPr>
      <w:r>
        <w:rPr>
          <w:rFonts w:hint="eastAsia"/>
          <w:kern w:val="0"/>
          <w:szCs w:val="32"/>
          <w:lang w:val="en"/>
        </w:rPr>
        <w:t>（六）制备中心应以公平可及、群众受益、开放共享为出发点，为研发机构或医疗机构提供公共研发、制备平台技术服务。</w:t>
      </w:r>
    </w:p>
    <w:p>
      <w:pPr>
        <w:ind w:firstLine="640"/>
        <w:rPr>
          <w:kern w:val="0"/>
          <w:szCs w:val="32"/>
          <w:lang w:val="en"/>
        </w:rPr>
      </w:pPr>
      <w:r>
        <w:rPr>
          <w:rFonts w:hint="eastAsia"/>
          <w:kern w:val="0"/>
          <w:szCs w:val="32"/>
          <w:lang w:val="en"/>
        </w:rPr>
        <w:t>（七）牵头单位、参与单位应具有良好的信用记录，未因严重违法失信行为被司法、行政机关依法列入联合惩戒对象名单；</w:t>
      </w:r>
    </w:p>
    <w:p>
      <w:pPr>
        <w:ind w:firstLine="640"/>
        <w:rPr>
          <w:kern w:val="0"/>
          <w:szCs w:val="32"/>
          <w:lang w:val="en"/>
        </w:rPr>
      </w:pPr>
      <w:r>
        <w:rPr>
          <w:rFonts w:hint="eastAsia"/>
          <w:kern w:val="0"/>
          <w:szCs w:val="32"/>
          <w:lang w:val="en"/>
        </w:rPr>
        <w:t>（八）符合国家、省其他相关规定。</w:t>
      </w:r>
    </w:p>
    <w:p>
      <w:pPr>
        <w:ind w:firstLine="640"/>
        <w:rPr>
          <w:rFonts w:ascii="黑体" w:hAnsi="黑体" w:eastAsia="黑体"/>
          <w:kern w:val="0"/>
          <w:szCs w:val="32"/>
        </w:rPr>
      </w:pPr>
      <w:r>
        <w:rPr>
          <w:rFonts w:hint="eastAsia" w:ascii="黑体" w:hAnsi="黑体" w:eastAsia="黑体"/>
          <w:kern w:val="0"/>
          <w:szCs w:val="32"/>
        </w:rPr>
        <w:t>二</w:t>
      </w:r>
      <w:r>
        <w:rPr>
          <w:rFonts w:ascii="黑体" w:hAnsi="黑体" w:eastAsia="黑体"/>
          <w:kern w:val="0"/>
          <w:szCs w:val="32"/>
        </w:rPr>
        <w:t>、</w:t>
      </w:r>
      <w:r>
        <w:rPr>
          <w:rFonts w:hint="eastAsia" w:ascii="黑体" w:hAnsi="黑体" w:eastAsia="黑体"/>
          <w:kern w:val="0"/>
          <w:szCs w:val="32"/>
        </w:rPr>
        <w:t>申报推荐</w:t>
      </w:r>
    </w:p>
    <w:p>
      <w:pPr>
        <w:ind w:firstLine="640"/>
        <w:rPr>
          <w:kern w:val="0"/>
          <w:szCs w:val="32"/>
        </w:rPr>
      </w:pPr>
      <w:r>
        <w:rPr>
          <w:rFonts w:hint="eastAsia"/>
          <w:szCs w:val="32"/>
        </w:rPr>
        <w:t>（一）拟</w:t>
      </w:r>
      <w:r>
        <w:rPr>
          <w:rFonts w:hint="eastAsia"/>
          <w:kern w:val="0"/>
          <w:szCs w:val="32"/>
        </w:rPr>
        <w:t>申报单位根据通知要求，结合自身优势和具体情况，编制制备中心组建方案。</w:t>
      </w:r>
    </w:p>
    <w:p>
      <w:pPr>
        <w:ind w:firstLine="640"/>
        <w:rPr>
          <w:kern w:val="0"/>
          <w:szCs w:val="32"/>
        </w:rPr>
      </w:pPr>
      <w:r>
        <w:rPr>
          <w:rFonts w:hint="eastAsia"/>
          <w:szCs w:val="32"/>
        </w:rPr>
        <w:t>（二）</w:t>
      </w:r>
      <w:r>
        <w:rPr>
          <w:rFonts w:hint="eastAsia"/>
          <w:szCs w:val="32"/>
          <w:lang w:eastAsia="zh-CN"/>
        </w:rPr>
        <w:t>拟申报单位将制备中心组建方案提交至所在</w:t>
      </w:r>
      <w:r>
        <w:rPr>
          <w:kern w:val="0"/>
          <w:szCs w:val="32"/>
        </w:rPr>
        <w:t>区市、功能区发展</w:t>
      </w:r>
      <w:r>
        <w:rPr>
          <w:rFonts w:hint="eastAsia"/>
          <w:kern w:val="0"/>
          <w:szCs w:val="32"/>
        </w:rPr>
        <w:t>改革局，</w:t>
      </w:r>
      <w:r>
        <w:rPr>
          <w:rFonts w:hint="eastAsia"/>
          <w:kern w:val="0"/>
          <w:szCs w:val="32"/>
          <w:lang w:eastAsia="zh-CN"/>
        </w:rPr>
        <w:t>由</w:t>
      </w:r>
      <w:r>
        <w:rPr>
          <w:szCs w:val="32"/>
        </w:rPr>
        <w:t>各</w:t>
      </w:r>
      <w:r>
        <w:rPr>
          <w:kern w:val="0"/>
          <w:szCs w:val="32"/>
        </w:rPr>
        <w:t>区市、功能区发展</w:t>
      </w:r>
      <w:r>
        <w:rPr>
          <w:rFonts w:hint="eastAsia"/>
          <w:kern w:val="0"/>
          <w:szCs w:val="32"/>
        </w:rPr>
        <w:t>改革局</w:t>
      </w:r>
      <w:r>
        <w:rPr>
          <w:rFonts w:hint="eastAsia"/>
          <w:kern w:val="0"/>
          <w:szCs w:val="32"/>
          <w:lang w:eastAsia="zh-CN"/>
        </w:rPr>
        <w:t>会同</w:t>
      </w:r>
      <w:r>
        <w:rPr>
          <w:rFonts w:hint="eastAsia"/>
          <w:szCs w:val="32"/>
        </w:rPr>
        <w:t>科技局、卫生健康局、市场监管局</w:t>
      </w:r>
      <w:r>
        <w:rPr>
          <w:rFonts w:hint="eastAsia"/>
          <w:szCs w:val="32"/>
          <w:lang w:eastAsia="zh-CN"/>
        </w:rPr>
        <w:t>联合推荐申报</w:t>
      </w:r>
      <w:r>
        <w:rPr>
          <w:rFonts w:hint="eastAsia"/>
          <w:kern w:val="0"/>
          <w:szCs w:val="32"/>
        </w:rPr>
        <w:t>，</w:t>
      </w:r>
      <w:r>
        <w:rPr>
          <w:rFonts w:hint="eastAsia"/>
          <w:szCs w:val="32"/>
          <w:lang w:val="en"/>
        </w:rPr>
        <w:t>根据申报要求</w:t>
      </w:r>
      <w:r>
        <w:rPr>
          <w:rFonts w:hint="eastAsia"/>
          <w:szCs w:val="32"/>
          <w:lang w:val="en" w:eastAsia="zh-CN"/>
        </w:rPr>
        <w:t>开展</w:t>
      </w:r>
      <w:r>
        <w:rPr>
          <w:rFonts w:hint="eastAsia"/>
          <w:szCs w:val="32"/>
          <w:lang w:val="en"/>
        </w:rPr>
        <w:t>论证，</w:t>
      </w:r>
      <w:r>
        <w:rPr>
          <w:rFonts w:cs="Times New Roman"/>
          <w:szCs w:val="32"/>
        </w:rPr>
        <w:t>并对</w:t>
      </w:r>
      <w:r>
        <w:rPr>
          <w:rFonts w:hint="eastAsia"/>
          <w:kern w:val="0"/>
          <w:szCs w:val="32"/>
        </w:rPr>
        <w:t>申报单位</w:t>
      </w:r>
      <w:r>
        <w:rPr>
          <w:rFonts w:cs="Times New Roman"/>
          <w:szCs w:val="32"/>
        </w:rPr>
        <w:t>条件、真实性进行把关，</w:t>
      </w:r>
      <w:r>
        <w:rPr>
          <w:rFonts w:hint="eastAsia"/>
          <w:kern w:val="0"/>
          <w:szCs w:val="32"/>
          <w:lang w:eastAsia="zh-CN"/>
        </w:rPr>
        <w:t>共同</w:t>
      </w:r>
      <w:r>
        <w:rPr>
          <w:rFonts w:cs="Times New Roman"/>
          <w:szCs w:val="32"/>
        </w:rPr>
        <w:t>出具</w:t>
      </w:r>
      <w:r>
        <w:rPr>
          <w:rFonts w:cs="Times New Roman"/>
          <w:b/>
          <w:bCs/>
          <w:szCs w:val="32"/>
        </w:rPr>
        <w:t>推荐文件</w:t>
      </w:r>
      <w:r>
        <w:rPr>
          <w:rFonts w:hint="eastAsia"/>
          <w:szCs w:val="32"/>
          <w:lang w:val="en"/>
        </w:rPr>
        <w:t>将符合条件的制备中心组建方案</w:t>
      </w:r>
      <w:r>
        <w:rPr>
          <w:rFonts w:hint="eastAsia"/>
          <w:kern w:val="0"/>
          <w:szCs w:val="32"/>
        </w:rPr>
        <w:t>推荐至</w:t>
      </w:r>
      <w:r>
        <w:rPr>
          <w:rFonts w:hint="eastAsia"/>
          <w:szCs w:val="32"/>
          <w:lang w:val="en"/>
        </w:rPr>
        <w:t>市</w:t>
      </w:r>
      <w:r>
        <w:rPr>
          <w:rFonts w:hint="eastAsia"/>
          <w:kern w:val="0"/>
          <w:szCs w:val="32"/>
        </w:rPr>
        <w:t>发展改革委、</w:t>
      </w:r>
      <w:r>
        <w:rPr>
          <w:rFonts w:hint="eastAsia"/>
          <w:szCs w:val="32"/>
          <w:lang w:val="en"/>
        </w:rPr>
        <w:t>市</w:t>
      </w:r>
      <w:r>
        <w:rPr>
          <w:rFonts w:hint="eastAsia"/>
          <w:kern w:val="0"/>
          <w:szCs w:val="32"/>
        </w:rPr>
        <w:t>科技局、</w:t>
      </w:r>
      <w:r>
        <w:rPr>
          <w:rFonts w:hint="eastAsia"/>
          <w:szCs w:val="32"/>
          <w:lang w:val="en"/>
        </w:rPr>
        <w:t>市</w:t>
      </w:r>
      <w:r>
        <w:rPr>
          <w:rFonts w:hint="eastAsia"/>
          <w:kern w:val="0"/>
          <w:szCs w:val="32"/>
        </w:rPr>
        <w:t>卫生健康委、</w:t>
      </w:r>
      <w:r>
        <w:rPr>
          <w:rFonts w:hint="eastAsia"/>
          <w:szCs w:val="32"/>
          <w:lang w:val="en"/>
        </w:rPr>
        <w:t>市</w:t>
      </w:r>
      <w:r>
        <w:rPr>
          <w:rFonts w:hint="eastAsia"/>
          <w:kern w:val="0"/>
          <w:szCs w:val="32"/>
        </w:rPr>
        <w:t>市场监管局四部门。</w:t>
      </w:r>
    </w:p>
    <w:p>
      <w:pPr>
        <w:ind w:firstLine="640"/>
        <w:rPr>
          <w:szCs w:val="32"/>
          <w:lang w:val="en"/>
        </w:rPr>
      </w:pPr>
      <w:r>
        <w:rPr>
          <w:rFonts w:hint="eastAsia"/>
          <w:szCs w:val="32"/>
        </w:rPr>
        <w:t>（三）</w:t>
      </w:r>
      <w:r>
        <w:rPr>
          <w:rFonts w:hint="eastAsia"/>
          <w:szCs w:val="32"/>
          <w:lang w:val="en"/>
        </w:rPr>
        <w:t>市</w:t>
      </w:r>
      <w:r>
        <w:rPr>
          <w:rFonts w:hint="eastAsia"/>
          <w:kern w:val="0"/>
          <w:szCs w:val="32"/>
        </w:rPr>
        <w:t>发展改革委会同</w:t>
      </w:r>
      <w:r>
        <w:rPr>
          <w:rFonts w:hint="eastAsia"/>
          <w:szCs w:val="32"/>
          <w:lang w:val="en"/>
        </w:rPr>
        <w:t>市</w:t>
      </w:r>
      <w:r>
        <w:rPr>
          <w:rFonts w:hint="eastAsia"/>
          <w:kern w:val="0"/>
          <w:szCs w:val="32"/>
        </w:rPr>
        <w:t>科技局、</w:t>
      </w:r>
      <w:r>
        <w:rPr>
          <w:rFonts w:hint="eastAsia"/>
          <w:szCs w:val="32"/>
          <w:lang w:val="en"/>
        </w:rPr>
        <w:t>市</w:t>
      </w:r>
      <w:r>
        <w:rPr>
          <w:rFonts w:hint="eastAsia"/>
          <w:kern w:val="0"/>
          <w:szCs w:val="32"/>
        </w:rPr>
        <w:t>卫生健康委、</w:t>
      </w:r>
      <w:r>
        <w:rPr>
          <w:rFonts w:hint="eastAsia"/>
          <w:szCs w:val="32"/>
          <w:lang w:val="en"/>
        </w:rPr>
        <w:t>市</w:t>
      </w:r>
      <w:r>
        <w:rPr>
          <w:rFonts w:hint="eastAsia"/>
          <w:kern w:val="0"/>
          <w:szCs w:val="32"/>
        </w:rPr>
        <w:t>市场监管局，委托第三方机构或组织专家对中心组建方案进行综合评审。</w:t>
      </w:r>
    </w:p>
    <w:p>
      <w:pPr>
        <w:ind w:firstLine="640"/>
        <w:rPr>
          <w:rFonts w:cs="Times New Roman"/>
          <w:szCs w:val="32"/>
        </w:rPr>
      </w:pPr>
      <w:r>
        <w:rPr>
          <w:rFonts w:hint="eastAsia"/>
          <w:szCs w:val="32"/>
        </w:rPr>
        <w:t>（四）</w:t>
      </w:r>
      <w:r>
        <w:rPr>
          <w:rFonts w:hint="eastAsia"/>
          <w:szCs w:val="32"/>
          <w:lang w:val="en"/>
        </w:rPr>
        <w:t>市发展改革委会同市</w:t>
      </w:r>
      <w:r>
        <w:rPr>
          <w:rFonts w:hint="eastAsia"/>
          <w:kern w:val="0"/>
          <w:szCs w:val="32"/>
        </w:rPr>
        <w:t>科技局、</w:t>
      </w:r>
      <w:r>
        <w:rPr>
          <w:rFonts w:hint="eastAsia"/>
          <w:szCs w:val="32"/>
          <w:lang w:val="en"/>
        </w:rPr>
        <w:t>市</w:t>
      </w:r>
      <w:r>
        <w:rPr>
          <w:rFonts w:hint="eastAsia"/>
          <w:kern w:val="0"/>
          <w:szCs w:val="32"/>
        </w:rPr>
        <w:t>卫生健康委、</w:t>
      </w:r>
      <w:r>
        <w:rPr>
          <w:rFonts w:hint="eastAsia"/>
          <w:szCs w:val="32"/>
          <w:lang w:val="en"/>
        </w:rPr>
        <w:t>市</w:t>
      </w:r>
      <w:r>
        <w:rPr>
          <w:rFonts w:hint="eastAsia"/>
          <w:kern w:val="0"/>
          <w:szCs w:val="32"/>
        </w:rPr>
        <w:t>市场监管局</w:t>
      </w:r>
      <w:r>
        <w:rPr>
          <w:rFonts w:hint="eastAsia"/>
          <w:szCs w:val="32"/>
          <w:lang w:val="en"/>
        </w:rPr>
        <w:t>，根据评审结果，</w:t>
      </w:r>
      <w:r>
        <w:rPr>
          <w:rFonts w:cs="Times New Roman"/>
          <w:szCs w:val="32"/>
        </w:rPr>
        <w:t>结合信用核查情况</w:t>
      </w:r>
      <w:r>
        <w:rPr>
          <w:rFonts w:hint="eastAsia" w:cs="Times New Roman"/>
          <w:szCs w:val="32"/>
        </w:rPr>
        <w:t>，</w:t>
      </w:r>
      <w:r>
        <w:rPr>
          <w:rFonts w:cs="Times New Roman"/>
          <w:szCs w:val="32"/>
        </w:rPr>
        <w:t>择优确定</w:t>
      </w:r>
      <w:r>
        <w:rPr>
          <w:rFonts w:hint="eastAsia"/>
          <w:szCs w:val="32"/>
        </w:rPr>
        <w:t>区域细胞制备中心培育</w:t>
      </w:r>
      <w:r>
        <w:rPr>
          <w:rFonts w:cs="Times New Roman"/>
          <w:szCs w:val="32"/>
        </w:rPr>
        <w:t>名单</w:t>
      </w:r>
      <w:r>
        <w:rPr>
          <w:rFonts w:hint="eastAsia" w:cs="Times New Roman"/>
          <w:szCs w:val="32"/>
        </w:rPr>
        <w:t>。</w:t>
      </w:r>
    </w:p>
    <w:p>
      <w:pPr>
        <w:pStyle w:val="15"/>
        <w:spacing w:beforeAutospacing="0" w:afterAutospacing="0"/>
        <w:ind w:firstLine="640"/>
        <w:rPr>
          <w:rFonts w:eastAsia="黑体"/>
          <w:sz w:val="32"/>
          <w:szCs w:val="32"/>
        </w:rPr>
      </w:pPr>
      <w:r>
        <w:rPr>
          <w:rFonts w:hint="eastAsia" w:ascii="黑体" w:hAnsi="黑体" w:eastAsia="黑体"/>
          <w:sz w:val="32"/>
          <w:szCs w:val="32"/>
        </w:rPr>
        <w:t>三</w:t>
      </w:r>
      <w:r>
        <w:rPr>
          <w:rFonts w:ascii="黑体" w:hAnsi="黑体" w:eastAsia="黑体"/>
          <w:sz w:val="32"/>
          <w:szCs w:val="32"/>
        </w:rPr>
        <w:t>、</w:t>
      </w:r>
      <w:r>
        <w:rPr>
          <w:rFonts w:hint="eastAsia" w:eastAsia="黑体"/>
          <w:sz w:val="32"/>
          <w:szCs w:val="32"/>
        </w:rPr>
        <w:t>报送要求</w:t>
      </w:r>
    </w:p>
    <w:p>
      <w:pPr>
        <w:keepNext w:val="0"/>
        <w:keepLines w:val="0"/>
        <w:widowControl/>
        <w:suppressLineNumbers w:val="0"/>
        <w:ind w:firstLine="640" w:firstLineChars="200"/>
        <w:jc w:val="left"/>
        <w:rPr>
          <w:rFonts w:hint="eastAsia" w:cs="Times New Roman"/>
          <w:szCs w:val="32"/>
          <w:lang w:val="en" w:eastAsia="zh-CN"/>
        </w:rPr>
      </w:pPr>
      <w:r>
        <w:rPr>
          <w:rFonts w:cs="Times New Roman"/>
          <w:szCs w:val="32"/>
        </w:rPr>
        <w:t>请</w:t>
      </w:r>
      <w:r>
        <w:rPr>
          <w:rFonts w:hint="eastAsia"/>
          <w:kern w:val="0"/>
          <w:szCs w:val="32"/>
        </w:rPr>
        <w:t>推荐单位</w:t>
      </w:r>
      <w:r>
        <w:rPr>
          <w:rFonts w:cs="Times New Roman"/>
          <w:szCs w:val="32"/>
        </w:rPr>
        <w:t>于202</w:t>
      </w:r>
      <w:r>
        <w:rPr>
          <w:rFonts w:hint="eastAsia" w:cs="Times New Roman"/>
          <w:szCs w:val="32"/>
        </w:rPr>
        <w:t>6</w:t>
      </w:r>
      <w:r>
        <w:rPr>
          <w:rFonts w:cs="Times New Roman"/>
          <w:szCs w:val="32"/>
        </w:rPr>
        <w:t>年</w:t>
      </w:r>
      <w:r>
        <w:rPr>
          <w:rFonts w:hint="eastAsia" w:cs="Times New Roman"/>
          <w:szCs w:val="32"/>
        </w:rPr>
        <w:t>8</w:t>
      </w:r>
      <w:r>
        <w:rPr>
          <w:rFonts w:cs="Times New Roman"/>
          <w:szCs w:val="32"/>
        </w:rPr>
        <w:t>月</w:t>
      </w:r>
      <w:r>
        <w:rPr>
          <w:rFonts w:hint="eastAsia" w:cs="Times New Roman"/>
          <w:szCs w:val="32"/>
        </w:rPr>
        <w:t>7</w:t>
      </w:r>
      <w:r>
        <w:rPr>
          <w:rFonts w:cs="Times New Roman"/>
          <w:szCs w:val="32"/>
        </w:rPr>
        <w:t>日（</w:t>
      </w:r>
      <w:r>
        <w:rPr>
          <w:rFonts w:eastAsia="楷体_GB2312" w:cs="Times New Roman"/>
          <w:szCs w:val="32"/>
        </w:rPr>
        <w:t>星期</w:t>
      </w:r>
      <w:r>
        <w:rPr>
          <w:rFonts w:hint="eastAsia" w:eastAsia="楷体_GB2312" w:cs="Times New Roman"/>
          <w:szCs w:val="32"/>
        </w:rPr>
        <w:t>五</w:t>
      </w:r>
      <w:r>
        <w:rPr>
          <w:rFonts w:cs="Times New Roman"/>
          <w:szCs w:val="32"/>
        </w:rPr>
        <w:t>）下午17：00前，将</w:t>
      </w:r>
      <w:r>
        <w:rPr>
          <w:rFonts w:cs="Times New Roman"/>
          <w:b/>
          <w:bCs/>
          <w:szCs w:val="32"/>
        </w:rPr>
        <w:t>推荐</w:t>
      </w:r>
      <w:r>
        <w:rPr>
          <w:rFonts w:hint="eastAsia" w:cs="Times New Roman"/>
          <w:b/>
          <w:bCs/>
          <w:szCs w:val="32"/>
        </w:rPr>
        <w:t>文件、区域细胞制备中心建设方案</w:t>
      </w:r>
      <w:r>
        <w:rPr>
          <w:rFonts w:hint="eastAsia"/>
          <w:kern w:val="0"/>
          <w:szCs w:val="32"/>
        </w:rPr>
        <w:t>等</w:t>
      </w:r>
      <w:r>
        <w:rPr>
          <w:rFonts w:hint="eastAsia" w:cs="Times New Roman"/>
          <w:szCs w:val="32"/>
        </w:rPr>
        <w:t>材料</w:t>
      </w:r>
      <w:r>
        <w:rPr>
          <w:rFonts w:cs="Times New Roman"/>
          <w:szCs w:val="32"/>
          <w:lang w:val="en"/>
        </w:rPr>
        <w:t>送至</w:t>
      </w:r>
      <w:r>
        <w:rPr>
          <w:szCs w:val="21"/>
        </w:rPr>
        <w:t>青岛市工程咨询院</w:t>
      </w:r>
      <w:r>
        <w:rPr>
          <w:rFonts w:hint="eastAsia" w:ascii="楷体_GB2312" w:eastAsia="楷体_GB2312"/>
          <w:szCs w:val="21"/>
        </w:rPr>
        <w:t>（崂山区海尔路168号咨询大厦</w:t>
      </w:r>
      <w:r>
        <w:rPr>
          <w:rFonts w:ascii="楷体_GB2312" w:eastAsia="楷体_GB2312"/>
          <w:szCs w:val="21"/>
        </w:rPr>
        <w:t>1406</w:t>
      </w:r>
      <w:r>
        <w:rPr>
          <w:rFonts w:hint="eastAsia" w:ascii="楷体_GB2312" w:eastAsia="楷体_GB2312"/>
          <w:szCs w:val="21"/>
        </w:rPr>
        <w:t>房间）</w:t>
      </w:r>
      <w:r>
        <w:rPr>
          <w:rFonts w:hint="eastAsia" w:cs="Times New Roman"/>
          <w:szCs w:val="32"/>
          <w:lang w:val="en"/>
        </w:rPr>
        <w:t>。</w:t>
      </w:r>
      <w:r>
        <w:rPr>
          <w:szCs w:val="32"/>
        </w:rPr>
        <w:t>材料包括：</w:t>
      </w:r>
      <w:r>
        <w:rPr>
          <w:rFonts w:hint="eastAsia"/>
          <w:szCs w:val="32"/>
        </w:rPr>
        <w:t>推荐文件盖章</w:t>
      </w:r>
      <w:r>
        <w:rPr>
          <w:szCs w:val="32"/>
        </w:rPr>
        <w:t>纸质行文</w:t>
      </w:r>
      <w:r>
        <w:rPr>
          <w:rFonts w:hint="eastAsia"/>
          <w:szCs w:val="32"/>
        </w:rPr>
        <w:t>2</w:t>
      </w:r>
      <w:r>
        <w:rPr>
          <w:szCs w:val="32"/>
        </w:rPr>
        <w:t>份、</w:t>
      </w:r>
      <w:r>
        <w:rPr>
          <w:rFonts w:hint="eastAsia" w:cs="Times New Roman"/>
          <w:szCs w:val="32"/>
          <w:lang w:val="en"/>
        </w:rPr>
        <w:t>建设方案</w:t>
      </w:r>
      <w:r>
        <w:rPr>
          <w:szCs w:val="32"/>
        </w:rPr>
        <w:t>纸质版</w:t>
      </w:r>
      <w:r>
        <w:rPr>
          <w:rFonts w:hint="eastAsia"/>
          <w:szCs w:val="32"/>
        </w:rPr>
        <w:t>1</w:t>
      </w:r>
      <w:r>
        <w:rPr>
          <w:szCs w:val="32"/>
        </w:rPr>
        <w:t>份、电子版光盘1份（光盘内容包括行文</w:t>
      </w:r>
      <w:r>
        <w:rPr>
          <w:rFonts w:hint="eastAsia"/>
          <w:szCs w:val="32"/>
        </w:rPr>
        <w:t>WORD版，</w:t>
      </w:r>
      <w:r>
        <w:rPr>
          <w:rFonts w:hint="eastAsia" w:cs="Times New Roman"/>
          <w:szCs w:val="32"/>
          <w:lang w:val="en"/>
        </w:rPr>
        <w:t>建设方案</w:t>
      </w:r>
      <w:r>
        <w:rPr>
          <w:rFonts w:hint="eastAsia"/>
          <w:szCs w:val="32"/>
        </w:rPr>
        <w:t>WORD版及</w:t>
      </w:r>
      <w:r>
        <w:rPr>
          <w:szCs w:val="32"/>
        </w:rPr>
        <w:t>PDF</w:t>
      </w:r>
      <w:r>
        <w:rPr>
          <w:rFonts w:hint="eastAsia"/>
          <w:szCs w:val="32"/>
        </w:rPr>
        <w:t>版</w:t>
      </w:r>
      <w:r>
        <w:rPr>
          <w:szCs w:val="32"/>
        </w:rPr>
        <w:t>，单个PDF控制在50M以内）</w:t>
      </w:r>
      <w:r>
        <w:rPr>
          <w:rFonts w:hint="eastAsia"/>
          <w:szCs w:val="32"/>
        </w:rPr>
        <w:t>。同时，材料</w:t>
      </w:r>
      <w:r>
        <w:rPr>
          <w:szCs w:val="32"/>
        </w:rPr>
        <w:t>电子版</w:t>
      </w:r>
      <w:r>
        <w:rPr>
          <w:rFonts w:hint="eastAsia"/>
          <w:szCs w:val="32"/>
        </w:rPr>
        <w:t>请</w:t>
      </w:r>
      <w:r>
        <w:rPr>
          <w:rFonts w:cs="Times New Roman"/>
          <w:szCs w:val="32"/>
        </w:rPr>
        <w:t>通过金宏</w:t>
      </w:r>
      <w:r>
        <w:rPr>
          <w:rFonts w:hint="eastAsia" w:cs="Times New Roman"/>
          <w:szCs w:val="32"/>
        </w:rPr>
        <w:t>发送</w:t>
      </w:r>
      <w:r>
        <w:rPr>
          <w:rFonts w:cs="Times New Roman"/>
          <w:szCs w:val="32"/>
        </w:rPr>
        <w:t>至“青岛市发展和改革委员会创新和高技术发展处”</w:t>
      </w:r>
      <w:r>
        <w:rPr>
          <w:rFonts w:hint="eastAsia" w:cs="Times New Roman"/>
          <w:szCs w:val="32"/>
        </w:rPr>
        <w:t>，并</w:t>
      </w:r>
      <w:r>
        <w:rPr>
          <w:rFonts w:hint="eastAsia" w:cs="Times New Roman"/>
          <w:szCs w:val="32"/>
          <w:lang w:val="en"/>
        </w:rPr>
        <w:t>抄送</w:t>
      </w:r>
      <w:r>
        <w:rPr>
          <w:rFonts w:ascii="Times New Roman" w:hAnsi="Times New Roman" w:eastAsia="仿宋_GB2312" w:cs="Times New Roman"/>
          <w:i w:val="0"/>
          <w:iCs w:val="0"/>
          <w:caps w:val="0"/>
          <w:spacing w:val="0"/>
          <w:kern w:val="2"/>
          <w:sz w:val="32"/>
          <w:szCs w:val="32"/>
          <w:shd w:val="clear"/>
          <w:lang w:val="en-US" w:eastAsia="zh-CN" w:bidi="ar"/>
        </w:rPr>
        <w:t>市科技局</w:t>
      </w:r>
      <w:r>
        <w:rPr>
          <w:rFonts w:hint="eastAsia" w:cs="Times New Roman"/>
          <w:szCs w:val="32"/>
          <w:lang w:val="en"/>
        </w:rPr>
        <w:t>、</w:t>
      </w:r>
      <w:r>
        <w:rPr>
          <w:rFonts w:ascii="Times New Roman" w:hAnsi="Times New Roman" w:eastAsia="仿宋_GB2312" w:cs="Times New Roman"/>
          <w:i w:val="0"/>
          <w:iCs w:val="0"/>
          <w:caps w:val="0"/>
          <w:spacing w:val="0"/>
          <w:kern w:val="2"/>
          <w:sz w:val="32"/>
          <w:szCs w:val="32"/>
          <w:shd w:val="clear"/>
          <w:lang w:val="en-US" w:eastAsia="zh-CN" w:bidi="ar"/>
        </w:rPr>
        <w:t>市卫生健康委</w:t>
      </w:r>
      <w:r>
        <w:rPr>
          <w:rFonts w:hint="eastAsia" w:cs="Times New Roman"/>
          <w:szCs w:val="32"/>
          <w:lang w:val="en"/>
        </w:rPr>
        <w:t>、</w:t>
      </w:r>
      <w:r>
        <w:rPr>
          <w:rFonts w:ascii="Times New Roman" w:hAnsi="Times New Roman" w:eastAsia="仿宋_GB2312" w:cs="Times New Roman"/>
          <w:i w:val="0"/>
          <w:iCs w:val="0"/>
          <w:caps w:val="0"/>
          <w:spacing w:val="0"/>
          <w:kern w:val="2"/>
          <w:sz w:val="32"/>
          <w:szCs w:val="32"/>
          <w:shd w:val="clear"/>
          <w:lang w:val="en-US" w:eastAsia="zh-CN" w:bidi="ar"/>
        </w:rPr>
        <w:t>市市场监管局</w:t>
      </w:r>
      <w:r>
        <w:rPr>
          <w:rFonts w:hint="eastAsia" w:cs="Times New Roman"/>
          <w:szCs w:val="32"/>
          <w:lang w:val="en" w:eastAsia="zh-CN"/>
        </w:rPr>
        <w:t>。</w:t>
      </w:r>
    </w:p>
    <w:p>
      <w:pPr>
        <w:widowControl/>
        <w:ind w:firstLine="0" w:firstLineChars="0"/>
        <w:jc w:val="left"/>
      </w:pPr>
    </w:p>
    <w:p>
      <w:pPr>
        <w:ind w:firstLine="640" w:firstLineChars="0"/>
        <w:rPr>
          <w:szCs w:val="32"/>
        </w:rPr>
      </w:pPr>
      <w:r>
        <w:rPr>
          <w:rFonts w:hint="eastAsia" w:cs="Times New Roman"/>
          <w:szCs w:val="32"/>
        </w:rPr>
        <w:t>联系人：</w:t>
      </w:r>
      <w:r>
        <w:rPr>
          <w:szCs w:val="32"/>
        </w:rPr>
        <w:t>市发展改革委</w:t>
      </w:r>
      <w:r>
        <w:rPr>
          <w:rFonts w:hint="eastAsia"/>
          <w:szCs w:val="32"/>
        </w:rPr>
        <w:t xml:space="preserve"> </w:t>
      </w:r>
      <w:r>
        <w:rPr>
          <w:szCs w:val="32"/>
        </w:rPr>
        <w:t>85913035</w:t>
      </w:r>
    </w:p>
    <w:p>
      <w:pPr>
        <w:pStyle w:val="14"/>
        <w:spacing w:line="560" w:lineRule="exact"/>
        <w:ind w:firstLine="1920" w:firstLineChars="600"/>
        <w:rPr>
          <w:rFonts w:ascii="Times New Roman" w:hAnsi="Times New Roman" w:cstheme="minorBidi"/>
          <w:color w:val="auto"/>
          <w:sz w:val="32"/>
          <w:szCs w:val="32"/>
        </w:rPr>
      </w:pPr>
      <w:r>
        <w:rPr>
          <w:rFonts w:ascii="Times New Roman" w:hAnsi="Times New Roman" w:cstheme="minorBidi"/>
          <w:color w:val="auto"/>
          <w:sz w:val="32"/>
          <w:szCs w:val="32"/>
        </w:rPr>
        <w:t>市</w:t>
      </w:r>
      <w:r>
        <w:rPr>
          <w:rFonts w:hint="eastAsia" w:ascii="Times New Roman" w:hAnsi="Times New Roman" w:cstheme="minorBidi"/>
          <w:color w:val="auto"/>
          <w:sz w:val="32"/>
          <w:szCs w:val="32"/>
        </w:rPr>
        <w:t>科技局 85911341</w:t>
      </w:r>
    </w:p>
    <w:p>
      <w:pPr>
        <w:pStyle w:val="14"/>
        <w:spacing w:line="560" w:lineRule="exact"/>
        <w:ind w:firstLine="1920" w:firstLineChars="600"/>
        <w:rPr>
          <w:rFonts w:ascii="Times New Roman" w:hAnsi="Times New Roman" w:cstheme="minorBidi"/>
          <w:color w:val="auto"/>
          <w:sz w:val="32"/>
          <w:szCs w:val="32"/>
        </w:rPr>
      </w:pPr>
      <w:r>
        <w:rPr>
          <w:rFonts w:ascii="Times New Roman" w:hAnsi="Times New Roman" w:cstheme="minorBidi"/>
          <w:color w:val="auto"/>
          <w:sz w:val="32"/>
          <w:szCs w:val="32"/>
        </w:rPr>
        <w:t>市</w:t>
      </w:r>
      <w:r>
        <w:rPr>
          <w:rFonts w:hint="eastAsia" w:ascii="Times New Roman" w:hAnsi="Times New Roman" w:cstheme="minorBidi"/>
          <w:color w:val="auto"/>
          <w:sz w:val="32"/>
          <w:szCs w:val="32"/>
        </w:rPr>
        <w:t>卫生健康委51915077</w:t>
      </w:r>
    </w:p>
    <w:p>
      <w:pPr>
        <w:pStyle w:val="14"/>
        <w:spacing w:line="560" w:lineRule="exact"/>
        <w:ind w:firstLine="1920" w:firstLineChars="600"/>
        <w:rPr>
          <w:rFonts w:hint="eastAsia" w:ascii="Times New Roman" w:hAnsi="Times New Roman" w:cstheme="minorBidi"/>
          <w:color w:val="auto"/>
          <w:sz w:val="32"/>
          <w:szCs w:val="32"/>
        </w:rPr>
      </w:pPr>
      <w:r>
        <w:rPr>
          <w:rFonts w:ascii="Times New Roman" w:hAnsi="Times New Roman" w:cstheme="minorBidi"/>
          <w:color w:val="auto"/>
          <w:sz w:val="32"/>
          <w:szCs w:val="32"/>
        </w:rPr>
        <w:t>市</w:t>
      </w:r>
      <w:r>
        <w:rPr>
          <w:rFonts w:hint="eastAsia" w:ascii="Times New Roman" w:hAnsi="Times New Roman" w:cstheme="minorBidi"/>
          <w:color w:val="auto"/>
          <w:sz w:val="32"/>
          <w:szCs w:val="32"/>
        </w:rPr>
        <w:t>市场监管局 85730833</w:t>
      </w:r>
    </w:p>
    <w:p>
      <w:pPr>
        <w:ind w:firstLine="1920" w:firstLineChars="600"/>
      </w:pPr>
      <w:r>
        <w:rPr>
          <w:szCs w:val="32"/>
        </w:rPr>
        <w:t xml:space="preserve">市工程咨询院 </w:t>
      </w:r>
      <w:r>
        <w:rPr>
          <w:rFonts w:hint="eastAsia"/>
          <w:szCs w:val="32"/>
        </w:rPr>
        <w:t>68895803</w:t>
      </w:r>
    </w:p>
    <w:p>
      <w:pPr>
        <w:ind w:firstLine="640"/>
      </w:pPr>
    </w:p>
    <w:p>
      <w:pPr>
        <w:pStyle w:val="14"/>
        <w:spacing w:line="560" w:lineRule="exact"/>
        <w:ind w:firstLine="640"/>
        <w:rPr>
          <w:rFonts w:hint="eastAsia" w:ascii="Times New Roman" w:hAnsi="Times New Roman" w:cs="Times New Roman"/>
          <w:color w:val="auto"/>
          <w:sz w:val="32"/>
          <w:szCs w:val="32"/>
        </w:rPr>
      </w:pPr>
      <w:r>
        <w:rPr>
          <w:rFonts w:hint="eastAsia" w:ascii="Times New Roman" w:hAnsi="Times New Roman" w:cs="Times New Roman"/>
          <w:color w:val="auto"/>
          <w:sz w:val="32"/>
          <w:szCs w:val="32"/>
        </w:rPr>
        <w:t xml:space="preserve"> 附件：1.</w:t>
      </w:r>
      <w:r>
        <w:rPr>
          <w:rFonts w:hint="eastAsia" w:ascii="Times New Roman" w:hAnsi="Times New Roman" w:cs="Times New Roman"/>
          <w:color w:val="auto"/>
          <w:sz w:val="32"/>
          <w:szCs w:val="32"/>
          <w:lang w:val="en-US" w:eastAsia="zh-CN"/>
        </w:rPr>
        <w:t xml:space="preserve"> </w:t>
      </w:r>
      <w:r>
        <w:rPr>
          <w:rFonts w:hint="eastAsia" w:ascii="Times New Roman" w:hAnsi="Times New Roman" w:cs="Times New Roman"/>
          <w:color w:val="auto"/>
          <w:sz w:val="32"/>
          <w:szCs w:val="32"/>
        </w:rPr>
        <w:t>山东省区域细胞制备中心暂行管理办法</w:t>
      </w:r>
    </w:p>
    <w:p>
      <w:pPr>
        <w:rPr>
          <w:rFonts w:hint="default" w:eastAsia="仿宋_GB2312"/>
          <w:lang w:val="en-US" w:eastAsia="zh-CN"/>
        </w:rPr>
      </w:pPr>
      <w:r>
        <w:rPr>
          <w:rFonts w:hint="eastAsia" w:cs="Times New Roman"/>
          <w:color w:val="auto"/>
          <w:sz w:val="32"/>
          <w:szCs w:val="32"/>
          <w:lang w:val="en-US" w:eastAsia="zh-CN"/>
        </w:rPr>
        <w:t xml:space="preserve">       2. 区域细胞制备中心建设方案模板</w:t>
      </w:r>
    </w:p>
    <w:p>
      <w:pPr>
        <w:pStyle w:val="14"/>
        <w:spacing w:line="560" w:lineRule="exact"/>
        <w:ind w:firstLine="640"/>
        <w:rPr>
          <w:rFonts w:hint="eastAsia" w:ascii="Times New Roman" w:hAnsi="Times New Roman" w:cs="Times New Roman"/>
          <w:color w:val="auto"/>
          <w:sz w:val="32"/>
          <w:szCs w:val="32"/>
        </w:rPr>
      </w:pPr>
      <w:r>
        <w:rPr>
          <w:rFonts w:hint="eastAsia" w:ascii="Times New Roman" w:hAnsi="Times New Roman" w:cs="Times New Roman"/>
          <w:color w:val="auto"/>
          <w:sz w:val="32"/>
          <w:szCs w:val="32"/>
        </w:rPr>
        <w:t xml:space="preserve">       </w:t>
      </w:r>
      <w:r>
        <w:rPr>
          <w:rFonts w:hint="eastAsia" w:ascii="Times New Roman" w:hAnsi="Times New Roman" w:cs="Times New Roman"/>
          <w:color w:val="auto"/>
          <w:sz w:val="32"/>
          <w:szCs w:val="32"/>
          <w:lang w:val="en-US" w:eastAsia="zh-CN"/>
        </w:rPr>
        <w:t>3</w:t>
      </w:r>
      <w:r>
        <w:rPr>
          <w:rFonts w:hint="eastAsia" w:ascii="Times New Roman" w:hAnsi="Times New Roman" w:cs="Times New Roman"/>
          <w:color w:val="auto"/>
          <w:sz w:val="32"/>
          <w:szCs w:val="32"/>
        </w:rPr>
        <w:t>. 真实性承诺书</w:t>
      </w:r>
    </w:p>
    <w:p>
      <w:pPr>
        <w:ind w:firstLine="640"/>
      </w:pPr>
    </w:p>
    <w:p>
      <w:pPr>
        <w:ind w:firstLine="480" w:firstLineChars="150"/>
        <w:rPr>
          <w:rFonts w:cs="Times New Roman"/>
          <w:szCs w:val="32"/>
        </w:rPr>
      </w:pPr>
      <w:r>
        <w:rPr>
          <w:rFonts w:cs="Times New Roman"/>
          <w:szCs w:val="32"/>
        </w:rPr>
        <w:t>青岛市发展和改革委员会</w:t>
      </w:r>
      <w:r>
        <w:rPr>
          <w:rFonts w:hint="eastAsia" w:cs="Times New Roman"/>
          <w:szCs w:val="32"/>
        </w:rPr>
        <w:t xml:space="preserve">         青岛市科学技术局</w:t>
      </w:r>
    </w:p>
    <w:p>
      <w:pPr>
        <w:ind w:firstLine="320" w:firstLineChars="100"/>
        <w:jc w:val="center"/>
        <w:rPr>
          <w:rFonts w:cs="Times New Roman"/>
          <w:szCs w:val="32"/>
          <w:lang w:val="en"/>
        </w:rPr>
      </w:pPr>
      <w:r>
        <w:rPr>
          <w:rFonts w:hint="eastAsia" w:cs="Times New Roman"/>
          <w:szCs w:val="32"/>
        </w:rPr>
        <w:t>青岛市卫生健康委员</w:t>
      </w:r>
      <w:r>
        <w:rPr>
          <w:rFonts w:hint="eastAsia" w:cs="Times New Roman"/>
          <w:szCs w:val="32"/>
          <w:lang w:eastAsia="zh-CN"/>
        </w:rPr>
        <w:t>会</w:t>
      </w:r>
      <w:r>
        <w:rPr>
          <w:rFonts w:hint="eastAsia" w:cs="Times New Roman"/>
          <w:szCs w:val="32"/>
        </w:rPr>
        <w:t xml:space="preserve">          青岛市市场监督管理局</w:t>
      </w:r>
    </w:p>
    <w:p>
      <w:pPr>
        <w:ind w:firstLine="640"/>
        <w:jc w:val="left"/>
        <w:rPr>
          <w:rFonts w:cs="Times New Roman"/>
          <w:szCs w:val="32"/>
        </w:rPr>
      </w:pPr>
      <w:r>
        <w:rPr>
          <w:rFonts w:cs="Times New Roman"/>
          <w:szCs w:val="32"/>
        </w:rPr>
        <w:t xml:space="preserve">                                2026年</w:t>
      </w:r>
      <w:r>
        <w:rPr>
          <w:rFonts w:hint="eastAsia" w:cs="Times New Roman"/>
          <w:szCs w:val="32"/>
        </w:rPr>
        <w:t>7</w:t>
      </w:r>
      <w:r>
        <w:rPr>
          <w:rFonts w:cs="Times New Roman"/>
          <w:szCs w:val="32"/>
        </w:rPr>
        <w:t>月</w:t>
      </w:r>
      <w:r>
        <w:rPr>
          <w:rFonts w:hint="eastAsia" w:cs="Times New Roman"/>
          <w:szCs w:val="32"/>
        </w:rPr>
        <w:t>2</w:t>
      </w:r>
      <w:r>
        <w:rPr>
          <w:rFonts w:hint="eastAsia" w:cs="Times New Roman"/>
          <w:szCs w:val="32"/>
          <w:lang w:val="en-US" w:eastAsia="zh-CN"/>
        </w:rPr>
        <w:t>1</w:t>
      </w:r>
      <w:r>
        <w:rPr>
          <w:rFonts w:cs="Times New Roman"/>
          <w:szCs w:val="32"/>
        </w:rPr>
        <w:t>日</w:t>
      </w:r>
    </w:p>
    <w:p>
      <w:pPr>
        <w:ind w:firstLine="640"/>
      </w:pPr>
      <w:r>
        <w:br w:type="page"/>
      </w:r>
    </w:p>
    <w:p>
      <w:pPr>
        <w:pStyle w:val="15"/>
        <w:widowControl/>
        <w:shd w:val="clear" w:color="auto" w:fill="FFFFFF"/>
        <w:spacing w:beforeAutospacing="0" w:afterAutospacing="0"/>
        <w:ind w:firstLine="0" w:firstLineChars="0"/>
        <w:rPr>
          <w:rStyle w:val="19"/>
          <w:rFonts w:hint="eastAsia" w:ascii="黑体" w:hAnsi="黑体" w:eastAsia="黑体" w:cs="微软雅黑"/>
          <w:b w:val="0"/>
          <w:bCs/>
          <w:color w:val="333333"/>
          <w:sz w:val="32"/>
          <w:szCs w:val="32"/>
          <w:shd w:val="clear" w:color="auto" w:fill="FFFFFF"/>
          <w:lang w:eastAsia="zh-CN"/>
        </w:rPr>
      </w:pPr>
      <w:r>
        <w:rPr>
          <w:rStyle w:val="19"/>
          <w:rFonts w:hint="eastAsia" w:ascii="黑体" w:hAnsi="黑体" w:eastAsia="黑体" w:cs="微软雅黑"/>
          <w:b w:val="0"/>
          <w:bCs/>
          <w:color w:val="333333"/>
          <w:sz w:val="32"/>
          <w:szCs w:val="32"/>
          <w:shd w:val="clear" w:color="auto" w:fill="FFFFFF"/>
        </w:rPr>
        <w:t>附件</w:t>
      </w:r>
      <w:r>
        <w:rPr>
          <w:rStyle w:val="19"/>
          <w:rFonts w:hint="eastAsia" w:ascii="黑体" w:hAnsi="黑体" w:eastAsia="黑体" w:cs="微软雅黑"/>
          <w:b w:val="0"/>
          <w:bCs/>
          <w:color w:val="333333"/>
          <w:sz w:val="32"/>
          <w:szCs w:val="32"/>
          <w:shd w:val="clear" w:color="auto" w:fill="FFFFFF"/>
          <w:lang w:val="en-US" w:eastAsia="zh-CN"/>
        </w:rPr>
        <w:t>1</w:t>
      </w:r>
    </w:p>
    <w:p>
      <w:pPr>
        <w:pStyle w:val="15"/>
        <w:widowControl/>
        <w:shd w:val="clear" w:color="auto" w:fill="FFFFFF"/>
        <w:spacing w:beforeAutospacing="0" w:afterAutospacing="0"/>
        <w:ind w:firstLine="640"/>
        <w:rPr>
          <w:rStyle w:val="19"/>
          <w:rFonts w:ascii="黑体" w:hAnsi="黑体" w:eastAsia="黑体" w:cs="微软雅黑"/>
          <w:b w:val="0"/>
          <w:bCs/>
          <w:color w:val="333333"/>
          <w:sz w:val="32"/>
          <w:szCs w:val="32"/>
          <w:shd w:val="clear" w:color="auto" w:fill="FFFFFF"/>
        </w:rPr>
      </w:pPr>
    </w:p>
    <w:p>
      <w:pPr>
        <w:pStyle w:val="15"/>
        <w:widowControl/>
        <w:shd w:val="clear" w:color="auto" w:fill="FFFFFF"/>
        <w:spacing w:beforeAutospacing="0" w:afterAutospacing="0"/>
        <w:ind w:firstLine="880"/>
        <w:jc w:val="center"/>
        <w:rPr>
          <w:rFonts w:ascii="方正小标宋_GBK" w:hAnsi="微软雅黑" w:eastAsia="方正小标宋_GBK" w:cs="微软雅黑"/>
          <w:b/>
          <w:bCs/>
          <w:color w:val="333333"/>
          <w:sz w:val="44"/>
          <w:szCs w:val="44"/>
        </w:rPr>
      </w:pPr>
      <w:r>
        <w:rPr>
          <w:rStyle w:val="19"/>
          <w:rFonts w:hint="eastAsia" w:ascii="方正小标宋_GBK" w:hAnsi="微软雅黑" w:eastAsia="方正小标宋_GBK" w:cs="微软雅黑"/>
          <w:b w:val="0"/>
          <w:bCs/>
          <w:color w:val="333333"/>
          <w:sz w:val="44"/>
          <w:szCs w:val="44"/>
          <w:shd w:val="clear" w:color="auto" w:fill="FFFFFF"/>
        </w:rPr>
        <w:t>山东省区域细胞制备中心暂行管理办法</w:t>
      </w:r>
    </w:p>
    <w:p>
      <w:pPr>
        <w:pStyle w:val="15"/>
        <w:widowControl/>
        <w:shd w:val="clear" w:color="auto" w:fill="FFFFFF"/>
        <w:spacing w:beforeAutospacing="0" w:afterAutospacing="0"/>
        <w:ind w:firstLine="640"/>
        <w:rPr>
          <w:rFonts w:ascii="微软雅黑" w:hAnsi="微软雅黑" w:eastAsia="微软雅黑" w:cs="微软雅黑"/>
          <w:color w:val="333333"/>
          <w:sz w:val="32"/>
          <w:szCs w:val="32"/>
        </w:rPr>
      </w:pPr>
    </w:p>
    <w:p>
      <w:pPr>
        <w:pStyle w:val="15"/>
        <w:widowControl/>
        <w:shd w:val="clear" w:color="auto" w:fill="FFFFFF"/>
        <w:spacing w:beforeAutospacing="0" w:afterAutospacing="0"/>
        <w:ind w:firstLine="0" w:firstLineChars="0"/>
        <w:jc w:val="center"/>
        <w:rPr>
          <w:rStyle w:val="19"/>
          <w:rFonts w:ascii="黑体" w:hAnsi="黑体" w:eastAsia="黑体"/>
          <w:b w:val="0"/>
          <w:sz w:val="32"/>
          <w:szCs w:val="32"/>
        </w:rPr>
      </w:pPr>
      <w:r>
        <w:rPr>
          <w:rStyle w:val="19"/>
          <w:rFonts w:hint="eastAsia" w:ascii="黑体" w:hAnsi="黑体" w:eastAsia="黑体"/>
          <w:b w:val="0"/>
          <w:sz w:val="32"/>
          <w:szCs w:val="32"/>
        </w:rPr>
        <w:t>第一章 总则</w:t>
      </w:r>
    </w:p>
    <w:p>
      <w:pPr>
        <w:pStyle w:val="15"/>
        <w:widowControl/>
        <w:shd w:val="clear" w:color="auto" w:fill="FFFFFF"/>
        <w:spacing w:beforeAutospacing="0" w:afterAutospacing="0"/>
        <w:ind w:firstLine="640"/>
        <w:jc w:val="center"/>
        <w:rPr>
          <w:rStyle w:val="19"/>
          <w:rFonts w:ascii="黑体" w:hAnsi="黑体" w:eastAsia="黑体"/>
          <w:b w:val="0"/>
          <w:bCs/>
          <w:sz w:val="32"/>
          <w:szCs w:val="32"/>
          <w:shd w:val="clear" w:color="auto" w:fill="FFFFFF"/>
        </w:rPr>
      </w:pP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第一条 为抢抓细胞与基因治疗产业发展机遇，推动细胞制备规范化、标准化发展，打造全国细胞与基因治疗产业发展高地，结合山东省实际，特制定本办法。</w:t>
      </w: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第二条 本办法适用于山东省区域细胞制备中心（以下简称“制备中心”）的申报、认定、评价等管理行为。</w:t>
      </w: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本办法所称制备中心，是指以支持细胞与基因治疗技术临床研究和临床转化应用为目标，具备细胞制备、检测、存储、基因修饰及临床研究应用配套能力的服务平台。</w:t>
      </w: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第三条 制备中心的主要任务包括：</w:t>
      </w: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（一）聚焦细胞与基因治疗产业高质量发展需求，开展细胞制备、基因修饰、载体研发、质量控制等关键共性技术攻关，推动产业技术进步和创新能力提升；</w:t>
      </w: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二）搭建“国内领先、国际接轨”的建设运营标准，形成覆盖细胞制备、检测、存储的全生命周期质量追溯体系，为临床研究、临床转化应用或以临床研究为目的的科研提供标准化的细胞产品及检测存储服务，精准承接科研、中试、质控等专业技术服务需求；</w:t>
      </w: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（三）推动技术转化应用，通过市场机制向行业转移和扩散技术成果，为细胞规模化生产提供成熟先进的制备技术、工艺、产品和装备，加速向临床应用和产业转化；</w:t>
      </w: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（四）坚持开放运行和共用共享，为行业引进应用先进细胞制备技术、参与制定国家及行业标准、推动技术转移扩散等提供支撑服务。</w:t>
      </w: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第四条 制备中心应严格遵守国家法律法规，符合科技部、国家卫生健康委、国家市场监督管理总局、国家药品监督管理局等部门相关规章与规定。</w:t>
      </w:r>
    </w:p>
    <w:p>
      <w:pPr>
        <w:pStyle w:val="15"/>
        <w:widowControl/>
        <w:shd w:val="clear" w:color="auto" w:fill="FFFFFF"/>
        <w:spacing w:beforeAutospacing="0" w:afterAutospacing="0"/>
        <w:ind w:firstLine="640"/>
        <w:jc w:val="both"/>
        <w:rPr>
          <w:kern w:val="2"/>
          <w:sz w:val="32"/>
          <w:szCs w:val="32"/>
          <w:lang w:val="en"/>
        </w:rPr>
      </w:pPr>
    </w:p>
    <w:p>
      <w:pPr>
        <w:pStyle w:val="15"/>
        <w:widowControl/>
        <w:shd w:val="clear" w:color="auto" w:fill="FFFFFF"/>
        <w:spacing w:beforeAutospacing="0" w:afterAutospacing="0"/>
        <w:ind w:firstLine="640"/>
        <w:jc w:val="center"/>
        <w:rPr>
          <w:rFonts w:ascii="黑体" w:hAnsi="黑体" w:eastAsia="黑体"/>
          <w:kern w:val="2"/>
          <w:sz w:val="32"/>
          <w:szCs w:val="32"/>
          <w:lang w:val="en"/>
        </w:rPr>
      </w:pPr>
      <w:r>
        <w:rPr>
          <w:rFonts w:hint="eastAsia" w:ascii="黑体" w:hAnsi="黑体" w:eastAsia="黑体"/>
          <w:kern w:val="2"/>
          <w:sz w:val="32"/>
          <w:szCs w:val="32"/>
          <w:lang w:val="en"/>
        </w:rPr>
        <w:t>第二章 申报与认定</w:t>
      </w:r>
    </w:p>
    <w:p>
      <w:pPr>
        <w:pStyle w:val="15"/>
        <w:widowControl/>
        <w:shd w:val="clear" w:color="auto" w:fill="FFFFFF"/>
        <w:spacing w:beforeAutospacing="0" w:afterAutospacing="0"/>
        <w:ind w:firstLine="640"/>
        <w:jc w:val="center"/>
        <w:rPr>
          <w:rFonts w:ascii="黑体" w:hAnsi="黑体" w:eastAsia="黑体"/>
          <w:kern w:val="2"/>
          <w:sz w:val="32"/>
          <w:szCs w:val="32"/>
          <w:lang w:val="en"/>
        </w:rPr>
      </w:pP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第五条 省发展改革委牵头，省科技厅、省卫生健康委、省药监局依据职责参与制备中心的认定、评价、管理等工作。各市相关部门负责组织本地区制备中心申报，督促、协调制备中心建设和运行。</w:t>
      </w: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第六条 制备中心结合地区产业实际，按照“需求对接、区域统筹”的方式布局，采取“成熟一个、组建一个”的原则推进。省发展改革委会同省科技厅、省卫生健康委、省药监局适时发布申报工作通知，明确申报要求等具体事项。</w:t>
      </w: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第七条 拟申报的制备中心要求具备以下条件：</w:t>
      </w: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（一）制备中心应由1家单位牵头，联合上下游企业、高校、科研院所、医疗机构等共同组建，在产学研用等方面密切协同。</w:t>
      </w: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（二）牵头单位应为独立法人单位，具备符合国家标准的细胞制备条件，具有较强的细胞制备、检测、存储等经验与能力，能够持续投入建设经营；医疗机构应符合实施生物医学新技术临床研究有关要求。</w:t>
      </w: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三）制备中心选址、设计、布局和建设应符合《药品生产质量管理规范》《细胞治疗产品生产质量管理指南（试行）》要求，满足区域细胞制备要求；设立独立质检实验室，具备细胞种属鉴定、微生物安全性、生物学安全性等质控指标检测能力。</w:t>
      </w: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（四）制备中心应具有高水平领军人才，配置相应的管理和专业人员；</w:t>
      </w: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五）制备中心应严格遵守国家人类遗传资源管理相关规定，建立细胞资源、原辅料耗材等信息数据库，实行“一人一码、一批一码”全流程追溯；细胞产品跨区域流通应符合国家药品监管、冷链运输相关要求，提供完整的检测报告和追溯信息。</w:t>
      </w: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（六）制备中心应以公平可及、群众受益、开放共享为出发点，为研发机构或医疗机构提供公共研发、制备平台技术服务。</w:t>
      </w: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（七）牵头单位、参与单位应具有良好的信用记录，未因严重违法失信行为被司法、行政机关依法列入联合惩戒对象名单；</w:t>
      </w: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（八）符合国家、省其他相关规定。</w:t>
      </w: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第八条 申报单位根据通知要求，结合自身优势和具体情况，编制制备中心组建方案并向市相关部门提交申请。</w:t>
      </w: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第九条 市相关部门根据申报要求提出论证意见，将符合条件的制备中心组建方案上报省发展改革委。</w:t>
      </w: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第十条 省发展改革委会同省科技厅、省卫生健康委、省药监局，委托第三方机构或组织专家对中心组建方案进行综合评审和实地考察。</w:t>
      </w: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第十一条 省发展改革委会同省科技厅、省卫生健康委、省药监局，根据评审结果，经综合研究后择优确定拟筹建制备中心名单，并在省发展改革委门户网站公示7个工作日，公示期满且无异议的，联合印发制备中心（筹）名单。</w:t>
      </w:r>
    </w:p>
    <w:p>
      <w:pPr>
        <w:pStyle w:val="15"/>
        <w:widowControl/>
        <w:shd w:val="clear" w:color="auto" w:fill="FFFFFF"/>
        <w:spacing w:beforeAutospacing="0" w:afterAutospacing="0"/>
        <w:ind w:firstLine="640"/>
        <w:jc w:val="both"/>
        <w:rPr>
          <w:kern w:val="2"/>
          <w:sz w:val="32"/>
          <w:szCs w:val="32"/>
          <w:lang w:val="en"/>
        </w:rPr>
      </w:pPr>
    </w:p>
    <w:p>
      <w:pPr>
        <w:pStyle w:val="15"/>
        <w:widowControl/>
        <w:shd w:val="clear" w:color="auto" w:fill="FFFFFF"/>
        <w:spacing w:beforeAutospacing="0" w:afterAutospacing="0"/>
        <w:ind w:firstLine="640"/>
        <w:jc w:val="center"/>
        <w:rPr>
          <w:rFonts w:ascii="黑体" w:hAnsi="黑体" w:eastAsia="黑体"/>
          <w:kern w:val="2"/>
          <w:sz w:val="32"/>
          <w:szCs w:val="32"/>
          <w:lang w:val="en"/>
        </w:rPr>
      </w:pPr>
      <w:r>
        <w:rPr>
          <w:rFonts w:hint="eastAsia" w:ascii="黑体" w:hAnsi="黑体" w:eastAsia="黑体"/>
          <w:kern w:val="2"/>
          <w:sz w:val="32"/>
          <w:szCs w:val="32"/>
          <w:lang w:val="en"/>
        </w:rPr>
        <w:t>第三章 运行与管理</w:t>
      </w:r>
    </w:p>
    <w:p>
      <w:pPr>
        <w:pStyle w:val="15"/>
        <w:widowControl/>
        <w:shd w:val="clear" w:color="auto" w:fill="FFFFFF"/>
        <w:spacing w:beforeAutospacing="0" w:afterAutospacing="0"/>
        <w:ind w:firstLine="640"/>
        <w:jc w:val="center"/>
        <w:rPr>
          <w:rFonts w:ascii="黑体" w:hAnsi="黑体" w:eastAsia="黑体"/>
          <w:kern w:val="2"/>
          <w:sz w:val="32"/>
          <w:szCs w:val="32"/>
          <w:lang w:val="en"/>
        </w:rPr>
      </w:pP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第十二条 制备中心的筹建期原则上不超过两年。筹建期内达到组建方案明确的发展目标、工作任务后，制备中心应编制筹建期总结报告，于筹建期结束后3个月按程序提出正式确认为制备中心的申请。</w:t>
      </w: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第十三条 省发展改革委会同省科技厅、省卫生健康委、省药监局对申请确认为制备中心的总结报告、证明材料等进行评估并现场核查，符合条件的按程序正式确认为“山东省区域细胞制备中心”。筹建期满未完成组建任务的，取消制备中心资格，不得再以“山东省区域细胞制备中心（筹）”开展工作。</w:t>
      </w: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第十四条 制备中心应聚焦关键技术攻关、质量安全管理、运营服务效能、产业发展贡献等方面，于每年3月底前向省发展改革委、省科技厅、省卫生健康委、省药监局报送工作总结。</w:t>
      </w: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第十五条 省发展改革委会同省科技厅、省卫生健康委、省药监局，每年对制备中心开展1次集中评估，全面评估中心规范性、服务力与创新力。</w:t>
      </w: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第十六条 制备中心应每年开展1次第三方环境监测，定期开展洁净区环境、核心制备设备、质控指标自检。</w:t>
      </w: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第十七条 进入筹建期的制备中心，根据建设需要，可提出创新能力建设项目。省发展改革委将按照省预算内投资管理规定，研究给予项目资金支持。</w:t>
      </w: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第十八条 鼓励制备中心开展细胞与基因治疗领域关键技术研究，对推动干细胞、基因治疗创新药完成临床试验的，按相关政策规定给予资金支持。</w:t>
      </w: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第十九条 制备中心不得以“山东省区域细胞制备中心（含筹）”名义开展存储收费活动。</w:t>
      </w: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第二十条 有以下情形之一的，省发展改革委会同省科技厅、省卫生健康委、省药监局，按程序撤销其中心资格：</w:t>
      </w: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（一）发展缓慢、不见成效或成效不显著的。</w:t>
      </w: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（二）集中评估不合格的。</w:t>
      </w: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（三）逾期未报送评价材料、不配合评价的。</w:t>
      </w: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（四）提供虚假材料和数据的。</w:t>
      </w: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（五）由于技术原因等，发生重大质量、安全事故的。</w:t>
      </w: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（六）因严重违法失信行为被司法、行政机关列入联合惩戒对象名单的。</w:t>
      </w: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（七）被依法吊销相关生产、经营、研发资质的。</w:t>
      </w: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（八）违反《生物医学新技术临床研究和临床转化应用管理条例》（中华人民共和国国务院令第 818号）《中华人民共和国药品管理法实施条例》（中华人民共和国国务院令第 828号）被依法终止的。</w:t>
      </w: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（九）其他违反国家法律法规、本办法规定且情节严重的情形。</w:t>
      </w:r>
    </w:p>
    <w:p>
      <w:pPr>
        <w:pStyle w:val="15"/>
        <w:widowControl/>
        <w:shd w:val="clear" w:color="auto" w:fill="FFFFFF"/>
        <w:spacing w:beforeAutospacing="0" w:afterAutospacing="0"/>
        <w:ind w:firstLine="0" w:firstLineChars="0"/>
        <w:jc w:val="center"/>
        <w:rPr>
          <w:rFonts w:ascii="黑体" w:hAnsi="黑体" w:eastAsia="黑体"/>
          <w:kern w:val="2"/>
          <w:sz w:val="32"/>
          <w:szCs w:val="32"/>
          <w:lang w:val="en"/>
        </w:rPr>
      </w:pPr>
      <w:r>
        <w:rPr>
          <w:rFonts w:hint="eastAsia" w:ascii="黑体" w:hAnsi="黑体" w:eastAsia="黑体"/>
          <w:kern w:val="2"/>
          <w:sz w:val="32"/>
          <w:szCs w:val="32"/>
          <w:lang w:val="en"/>
        </w:rPr>
        <w:t>第四章 附则</w:t>
      </w:r>
    </w:p>
    <w:p>
      <w:pPr>
        <w:pStyle w:val="15"/>
        <w:widowControl/>
        <w:shd w:val="clear" w:color="auto" w:fill="FFFFFF"/>
        <w:spacing w:beforeAutospacing="0" w:afterAutospacing="0"/>
        <w:ind w:firstLine="640"/>
        <w:jc w:val="center"/>
        <w:rPr>
          <w:rFonts w:ascii="黑体" w:hAnsi="黑体" w:eastAsia="黑体"/>
          <w:kern w:val="2"/>
          <w:sz w:val="32"/>
          <w:szCs w:val="32"/>
          <w:lang w:val="en"/>
        </w:rPr>
      </w:pP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第二十一条 本办法由省发展改革委会同省科技厅、省卫生健康委、省药监局负责解释。</w:t>
      </w:r>
    </w:p>
    <w:p>
      <w:pPr>
        <w:pStyle w:val="15"/>
        <w:widowControl/>
        <w:shd w:val="clear" w:color="auto" w:fill="FFFFFF"/>
        <w:spacing w:beforeAutospacing="0" w:afterAutospacing="0"/>
        <w:ind w:firstLine="640"/>
        <w:jc w:val="both"/>
        <w:rPr>
          <w:kern w:val="2"/>
          <w:sz w:val="32"/>
          <w:szCs w:val="32"/>
          <w:lang w:val="en"/>
        </w:rPr>
      </w:pPr>
      <w:r>
        <w:rPr>
          <w:rFonts w:hint="eastAsia"/>
          <w:kern w:val="2"/>
          <w:sz w:val="32"/>
          <w:szCs w:val="32"/>
          <w:lang w:val="en"/>
        </w:rPr>
        <w:t>第二十二条 本办法自2026年7月18日起施行。有关政策法律依据发生变化，根据实施情况评估修订。</w:t>
      </w:r>
    </w:p>
    <w:p>
      <w:pPr>
        <w:pStyle w:val="26"/>
        <w:spacing w:line="560" w:lineRule="exact"/>
        <w:rPr>
          <w:rFonts w:ascii="仿宋_GB2312" w:hAnsi="仿宋_GB2312" w:eastAsia="仿宋_GB2312" w:cs="仿宋_GB2312"/>
          <w:sz w:val="32"/>
          <w:szCs w:val="32"/>
          <w:lang w:val="en"/>
        </w:rPr>
      </w:pPr>
    </w:p>
    <w:p>
      <w:pPr>
        <w:ind w:firstLine="0" w:firstLineChars="0"/>
        <w:jc w:val="left"/>
        <w:rPr>
          <w:rFonts w:hint="eastAsia" w:ascii="黑体" w:hAnsi="黑体" w:eastAsia="黑体" w:cs="黑体"/>
          <w:szCs w:val="32"/>
        </w:rPr>
      </w:pPr>
      <w:r>
        <w:rPr>
          <w:rFonts w:hint="eastAsia" w:ascii="黑体" w:hAnsi="黑体" w:eastAsia="黑体" w:cs="黑体"/>
          <w:szCs w:val="32"/>
        </w:rPr>
        <w:br w:type="page"/>
      </w:r>
    </w:p>
    <w:p>
      <w:pPr>
        <w:ind w:firstLine="0" w:firstLineChars="0"/>
        <w:jc w:val="left"/>
        <w:rPr>
          <w:rFonts w:hint="eastAsia" w:ascii="黑体" w:hAnsi="黑体" w:eastAsia="黑体" w:cs="黑体"/>
          <w:szCs w:val="32"/>
          <w:lang w:eastAsia="zh-CN"/>
        </w:rPr>
      </w:pPr>
      <w:r>
        <w:rPr>
          <w:rFonts w:hint="eastAsia" w:ascii="黑体" w:hAnsi="黑体" w:eastAsia="黑体" w:cs="黑体"/>
          <w:szCs w:val="32"/>
        </w:rPr>
        <w:t>附件</w:t>
      </w:r>
      <w:r>
        <w:rPr>
          <w:rFonts w:hint="eastAsia" w:ascii="黑体" w:hAnsi="黑体" w:eastAsia="黑体" w:cs="黑体"/>
          <w:szCs w:val="32"/>
          <w:lang w:val="en-US" w:eastAsia="zh-CN"/>
        </w:rPr>
        <w:t>2</w:t>
      </w:r>
    </w:p>
    <w:p>
      <w:pPr>
        <w:ind w:firstLine="640"/>
        <w:jc w:val="left"/>
        <w:rPr>
          <w:rFonts w:ascii="黑体" w:hAnsi="黑体" w:eastAsia="黑体" w:cs="黑体"/>
          <w:szCs w:val="32"/>
        </w:rPr>
      </w:pPr>
    </w:p>
    <w:p>
      <w:pPr>
        <w:ind w:firstLine="0" w:firstLineChars="0"/>
        <w:jc w:val="center"/>
        <w:rPr>
          <w:rFonts w:ascii="方正小标宋_GBK" w:hAnsi="方正小标宋_GBK" w:eastAsia="方正小标宋_GBK" w:cs="方正小标宋_GBK"/>
          <w:bCs/>
          <w:kern w:val="44"/>
          <w:sz w:val="44"/>
          <w:szCs w:val="44"/>
          <w:highlight w:val="yellow"/>
          <w:lang w:bidi="ar"/>
        </w:rPr>
      </w:pPr>
      <w:bookmarkStart w:id="0" w:name="_Toc229172338"/>
      <w:r>
        <w:rPr>
          <w:rFonts w:hint="eastAsia" w:ascii="方正小标宋_GBK" w:hAnsi="方正小标宋_GBK" w:eastAsia="方正小标宋_GBK" w:cs="方正小标宋_GBK"/>
          <w:bCs/>
          <w:kern w:val="44"/>
          <w:sz w:val="44"/>
          <w:szCs w:val="44"/>
          <w:lang w:bidi="ar"/>
        </w:rPr>
        <w:t>区域细胞制备中心建设方案模板</w:t>
      </w:r>
    </w:p>
    <w:p>
      <w:pPr>
        <w:ind w:firstLine="880"/>
        <w:jc w:val="center"/>
        <w:rPr>
          <w:rFonts w:ascii="方正小标宋_GBK" w:hAnsi="方正小标宋_GBK" w:eastAsia="方正小标宋_GBK" w:cs="方正小标宋_GBK"/>
          <w:bCs/>
          <w:kern w:val="44"/>
          <w:sz w:val="44"/>
          <w:szCs w:val="44"/>
          <w:highlight w:val="yellow"/>
          <w:lang w:bidi="ar"/>
        </w:rPr>
      </w:pPr>
    </w:p>
    <w:bookmarkEnd w:id="0"/>
    <w:p>
      <w:pPr>
        <w:pStyle w:val="7"/>
        <w:widowControl/>
        <w:spacing w:before="0" w:beforeAutospacing="0" w:after="0" w:afterAutospacing="0"/>
        <w:ind w:firstLine="640"/>
        <w:rPr>
          <w:rFonts w:hint="default" w:ascii="黑体" w:hAnsi="黑体" w:eastAsia="黑体" w:cs="黑体"/>
          <w:b w:val="0"/>
          <w:bCs w:val="0"/>
          <w:sz w:val="32"/>
          <w:szCs w:val="32"/>
        </w:rPr>
      </w:pPr>
      <w:r>
        <w:rPr>
          <w:rFonts w:ascii="黑体" w:hAnsi="黑体" w:eastAsia="黑体" w:cs="黑体"/>
          <w:b w:val="0"/>
          <w:bCs w:val="0"/>
          <w:sz w:val="32"/>
          <w:szCs w:val="32"/>
        </w:rPr>
        <w:t>一、建设背景与必要性</w:t>
      </w:r>
    </w:p>
    <w:p>
      <w:pPr>
        <w:pStyle w:val="14"/>
        <w:spacing w:line="560" w:lineRule="exact"/>
        <w:ind w:firstLine="640"/>
        <w:rPr>
          <w:rFonts w:hAnsi="仿宋_GB2312" w:cs="仿宋_GB2312"/>
          <w:sz w:val="32"/>
          <w:szCs w:val="44"/>
        </w:rPr>
      </w:pPr>
      <w:r>
        <w:rPr>
          <w:rFonts w:hint="eastAsia" w:hAnsi="仿宋_GB2312" w:cs="仿宋_GB2312"/>
          <w:sz w:val="32"/>
          <w:szCs w:val="44"/>
        </w:rPr>
        <w:t>国内、山东省细胞与基因治疗产业发展现状、产业链短板、临床转化需求缺口。国家、省政策依据。建设区域细胞制备中心的战略定位、发展方向、临床科研、生物安全管控等方面必要性分析。</w:t>
      </w:r>
    </w:p>
    <w:p>
      <w:pPr>
        <w:pStyle w:val="7"/>
        <w:widowControl/>
        <w:spacing w:before="0" w:beforeAutospacing="0" w:after="0" w:afterAutospacing="0"/>
        <w:ind w:firstLine="640"/>
        <w:rPr>
          <w:rFonts w:hint="default" w:ascii="黑体" w:hAnsi="黑体" w:eastAsia="黑体" w:cs="黑体"/>
          <w:b w:val="0"/>
          <w:bCs w:val="0"/>
          <w:sz w:val="32"/>
          <w:szCs w:val="32"/>
        </w:rPr>
      </w:pPr>
      <w:r>
        <w:rPr>
          <w:rFonts w:ascii="黑体" w:hAnsi="黑体" w:eastAsia="黑体" w:cs="黑体"/>
          <w:b w:val="0"/>
          <w:bCs w:val="0"/>
          <w:sz w:val="32"/>
          <w:szCs w:val="32"/>
        </w:rPr>
        <w:t>二、组建单位情况与基础</w:t>
      </w:r>
    </w:p>
    <w:p>
      <w:pPr>
        <w:pStyle w:val="8"/>
        <w:spacing w:before="0" w:after="0" w:line="560" w:lineRule="exact"/>
        <w:ind w:firstLine="640" w:firstLineChars="200"/>
        <w:rPr>
          <w:rFonts w:ascii="仿宋_GB2312" w:hAnsi="仿宋_GB2312" w:eastAsia="仿宋_GB2312" w:cs="仿宋_GB2312"/>
          <w:b w:val="0"/>
          <w:bCs w:val="0"/>
        </w:rPr>
      </w:pPr>
      <w:r>
        <w:rPr>
          <w:rFonts w:hint="eastAsia" w:ascii="仿宋_GB2312" w:hAnsi="仿宋_GB2312" w:eastAsia="仿宋_GB2312" w:cs="仿宋_GB2312"/>
          <w:b w:val="0"/>
          <w:bCs w:val="0"/>
        </w:rPr>
        <w:t>（一）牵头单位概况。单位性质、主营业务、经营年限、资产规模及持续投入能力。现有细胞制备、检测、存储场地及设备、过往项目经验；医疗机构需提供生物医学新技术临床研究资质。近三年无严重违法失信、无联合惩戒记录。现有创新平台、专利、细胞相关科研成果、临床合作案例。</w:t>
      </w:r>
    </w:p>
    <w:p>
      <w:pPr>
        <w:pStyle w:val="8"/>
        <w:spacing w:before="0" w:after="0" w:line="560" w:lineRule="exact"/>
        <w:ind w:firstLine="640" w:firstLineChars="200"/>
        <w:rPr>
          <w:rFonts w:ascii="仿宋_GB2312" w:hAnsi="仿宋_GB2312" w:eastAsia="仿宋_GB2312" w:cs="仿宋_GB2312"/>
          <w:b w:val="0"/>
          <w:bCs w:val="0"/>
        </w:rPr>
      </w:pPr>
      <w:r>
        <w:rPr>
          <w:rFonts w:hint="eastAsia" w:ascii="仿宋_GB2312" w:hAnsi="仿宋_GB2312" w:eastAsia="仿宋_GB2312" w:cs="仿宋_GB2312"/>
          <w:b w:val="0"/>
          <w:bCs w:val="0"/>
        </w:rPr>
        <w:t>（二）联合组建单位概况。分单位列明：单位名称、主体类型、合作分工、可共享资源（生产线、实验室、临床床位、研发设备、专利、临床样本资源等）、权责边界。</w:t>
      </w:r>
    </w:p>
    <w:p>
      <w:pPr>
        <w:pStyle w:val="8"/>
        <w:spacing w:before="0" w:after="0" w:line="560" w:lineRule="exact"/>
        <w:ind w:firstLine="640" w:firstLineChars="200"/>
        <w:rPr>
          <w:rFonts w:ascii="仿宋_GB2312" w:hAnsi="仿宋_GB2312" w:eastAsia="仿宋_GB2312" w:cs="仿宋_GB2312"/>
          <w:b w:val="0"/>
          <w:bCs w:val="0"/>
        </w:rPr>
      </w:pPr>
      <w:r>
        <w:rPr>
          <w:rFonts w:hint="eastAsia" w:ascii="仿宋_GB2312" w:hAnsi="仿宋_GB2312" w:eastAsia="仿宋_GB2312" w:cs="仿宋_GB2312"/>
          <w:b w:val="0"/>
          <w:bCs w:val="0"/>
        </w:rPr>
        <w:t>（三）现有协同情况。已开展产学研合作项目、联合发表成果、共建实验室、人才合作等情况。</w:t>
      </w:r>
    </w:p>
    <w:p>
      <w:pPr>
        <w:pStyle w:val="7"/>
        <w:widowControl/>
        <w:spacing w:before="0" w:beforeAutospacing="0" w:after="0" w:afterAutospacing="0"/>
        <w:ind w:firstLine="640"/>
        <w:rPr>
          <w:rFonts w:hint="default" w:ascii="黑体" w:hAnsi="黑体" w:eastAsia="黑体" w:cs="黑体"/>
          <w:b w:val="0"/>
          <w:bCs w:val="0"/>
          <w:sz w:val="32"/>
          <w:szCs w:val="32"/>
        </w:rPr>
      </w:pPr>
      <w:r>
        <w:rPr>
          <w:rFonts w:ascii="黑体" w:hAnsi="黑体" w:eastAsia="黑体" w:cs="黑体"/>
          <w:b w:val="0"/>
          <w:bCs w:val="0"/>
          <w:sz w:val="32"/>
          <w:szCs w:val="32"/>
        </w:rPr>
        <w:t>三、建设实施方案</w:t>
      </w:r>
    </w:p>
    <w:p>
      <w:pPr>
        <w:pStyle w:val="14"/>
        <w:spacing w:line="560" w:lineRule="exact"/>
        <w:ind w:firstLine="640"/>
        <w:rPr>
          <w:rFonts w:hAnsi="仿宋_GB2312" w:cs="仿宋_GB2312"/>
          <w:b/>
          <w:bCs/>
        </w:rPr>
      </w:pPr>
      <w:r>
        <w:rPr>
          <w:rFonts w:hint="eastAsia" w:hAnsi="仿宋_GB2312" w:cs="仿宋_GB2312"/>
          <w:sz w:val="32"/>
          <w:szCs w:val="32"/>
        </w:rPr>
        <w:t>（一）整体建设实施方案。中心运营模式概述。共建合作协议核心约定，成果共享、风险共担、收益分配、重大事项会商决策机制。明确牵头单位及联合组建单位等各方权利义务、投入比例、合作期限等核心约定，运行机制应体现“开放运行和共用共享”原则。选址与合规设计。功能分区规划，必要时可附平面布局简图说明。仪器设备配置情况。环境与安全配套设施。</w:t>
      </w:r>
    </w:p>
    <w:p>
      <w:pPr>
        <w:pStyle w:val="8"/>
        <w:spacing w:before="0" w:after="0" w:line="560" w:lineRule="exact"/>
        <w:ind w:firstLine="640" w:firstLineChars="200"/>
        <w:rPr>
          <w:rFonts w:ascii="仿宋_GB2312" w:hAnsi="仿宋_GB2312" w:eastAsia="仿宋_GB2312" w:cs="仿宋_GB2312"/>
          <w:b w:val="0"/>
          <w:bCs w:val="0"/>
        </w:rPr>
      </w:pPr>
      <w:r>
        <w:rPr>
          <w:rFonts w:hint="eastAsia" w:ascii="仿宋_GB2312" w:hAnsi="仿宋_GB2312" w:eastAsia="仿宋_GB2312" w:cs="仿宋_GB2312"/>
          <w:b w:val="0"/>
          <w:bCs w:val="0"/>
        </w:rPr>
        <w:t>（二）核心任务。关键共性技术攻关、全生命周期标准化公共服务、技术成果产业转化、开放共享与标准支撑情况及规划。</w:t>
      </w:r>
    </w:p>
    <w:p>
      <w:pPr>
        <w:pStyle w:val="8"/>
        <w:spacing w:before="0" w:after="0" w:line="560" w:lineRule="exact"/>
        <w:ind w:firstLine="640" w:firstLineChars="200"/>
        <w:rPr>
          <w:rFonts w:ascii="仿宋_GB2312" w:hAnsi="仿宋_GB2312" w:eastAsia="仿宋_GB2312" w:cs="仿宋_GB2312"/>
          <w:b w:val="0"/>
          <w:bCs w:val="0"/>
        </w:rPr>
      </w:pPr>
      <w:r>
        <w:rPr>
          <w:rFonts w:hint="eastAsia" w:ascii="仿宋_GB2312" w:hAnsi="仿宋_GB2312" w:eastAsia="仿宋_GB2312" w:cs="仿宋_GB2312"/>
          <w:b w:val="0"/>
          <w:bCs w:val="0"/>
        </w:rPr>
        <w:t>（三）分阶段建设目标。短期目标（第1年）；中期目标（第2年）；远期运营目标（3-5年）。</w:t>
      </w:r>
    </w:p>
    <w:p>
      <w:pPr>
        <w:pStyle w:val="7"/>
        <w:widowControl/>
        <w:spacing w:before="0" w:beforeAutospacing="0" w:after="0" w:afterAutospacing="0"/>
        <w:ind w:firstLine="640"/>
        <w:rPr>
          <w:rFonts w:hint="default" w:ascii="黑体" w:hAnsi="黑体" w:eastAsia="黑体" w:cs="黑体"/>
          <w:b w:val="0"/>
          <w:bCs w:val="0"/>
          <w:sz w:val="32"/>
          <w:szCs w:val="32"/>
        </w:rPr>
      </w:pPr>
      <w:r>
        <w:rPr>
          <w:rFonts w:ascii="黑体" w:hAnsi="黑体" w:eastAsia="黑体" w:cs="黑体"/>
          <w:b w:val="0"/>
          <w:bCs w:val="0"/>
          <w:sz w:val="32"/>
          <w:szCs w:val="32"/>
        </w:rPr>
        <w:t>四、组织架构与运营管理机制</w:t>
      </w:r>
    </w:p>
    <w:p>
      <w:pPr>
        <w:pStyle w:val="8"/>
        <w:spacing w:before="0" w:after="0" w:line="560" w:lineRule="exact"/>
        <w:ind w:firstLine="640" w:firstLineChars="200"/>
        <w:rPr>
          <w:rFonts w:ascii="仿宋_GB2312" w:hAnsi="仿宋_GB2312" w:eastAsia="仿宋_GB2312" w:cs="仿宋_GB2312"/>
          <w:b w:val="0"/>
          <w:bCs w:val="0"/>
        </w:rPr>
      </w:pPr>
      <w:r>
        <w:rPr>
          <w:rFonts w:hint="eastAsia" w:ascii="仿宋_GB2312" w:hAnsi="仿宋_GB2312" w:eastAsia="仿宋_GB2312" w:cs="仿宋_GB2312"/>
          <w:b w:val="0"/>
          <w:bCs w:val="0"/>
        </w:rPr>
        <w:t>（一）组织架构设置</w:t>
      </w:r>
    </w:p>
    <w:p>
      <w:pPr>
        <w:pStyle w:val="8"/>
        <w:spacing w:before="0" w:after="0" w:line="560" w:lineRule="exact"/>
        <w:ind w:firstLine="640" w:firstLineChars="200"/>
        <w:rPr>
          <w:rFonts w:ascii="仿宋_GB2312" w:hAnsi="仿宋_GB2312" w:eastAsia="仿宋_GB2312" w:cs="仿宋_GB2312"/>
          <w:b w:val="0"/>
          <w:bCs w:val="0"/>
        </w:rPr>
      </w:pPr>
      <w:r>
        <w:rPr>
          <w:rFonts w:hint="eastAsia" w:ascii="仿宋_GB2312" w:hAnsi="仿宋_GB2312" w:eastAsia="仿宋_GB2312" w:cs="仿宋_GB2312"/>
          <w:b w:val="0"/>
          <w:bCs w:val="0"/>
        </w:rPr>
        <w:t>（二）人才团队配置方案</w:t>
      </w:r>
    </w:p>
    <w:p>
      <w:pPr>
        <w:pStyle w:val="8"/>
        <w:spacing w:before="0" w:after="0" w:line="560" w:lineRule="exact"/>
        <w:ind w:firstLine="640" w:firstLineChars="200"/>
        <w:rPr>
          <w:rFonts w:ascii="仿宋_GB2312" w:hAnsi="仿宋_GB2312" w:eastAsia="仿宋_GB2312" w:cs="仿宋_GB2312"/>
          <w:b w:val="0"/>
          <w:bCs w:val="0"/>
        </w:rPr>
      </w:pPr>
      <w:r>
        <w:rPr>
          <w:rFonts w:hint="eastAsia" w:ascii="仿宋_GB2312" w:hAnsi="仿宋_GB2312" w:eastAsia="仿宋_GB2312" w:cs="仿宋_GB2312"/>
          <w:b w:val="0"/>
          <w:bCs w:val="0"/>
        </w:rPr>
        <w:t>（三）产学研协同运行机制</w:t>
      </w:r>
    </w:p>
    <w:p>
      <w:pPr>
        <w:pStyle w:val="8"/>
        <w:spacing w:before="0" w:after="0" w:line="560" w:lineRule="exact"/>
        <w:ind w:firstLine="640" w:firstLineChars="200"/>
        <w:rPr>
          <w:rFonts w:ascii="仿宋_GB2312" w:hAnsi="仿宋_GB2312" w:eastAsia="仿宋_GB2312" w:cs="仿宋_GB2312"/>
          <w:b w:val="0"/>
          <w:bCs w:val="0"/>
        </w:rPr>
      </w:pPr>
      <w:r>
        <w:rPr>
          <w:rFonts w:hint="eastAsia" w:ascii="仿宋_GB2312" w:hAnsi="仿宋_GB2312" w:eastAsia="仿宋_GB2312" w:cs="仿宋_GB2312"/>
          <w:b w:val="0"/>
          <w:bCs w:val="0"/>
        </w:rPr>
        <w:t>（四）收费合规管理情况及计划</w:t>
      </w:r>
    </w:p>
    <w:p>
      <w:pPr>
        <w:pStyle w:val="7"/>
        <w:widowControl/>
        <w:spacing w:before="0" w:beforeAutospacing="0" w:after="0" w:afterAutospacing="0"/>
        <w:ind w:firstLine="640"/>
        <w:rPr>
          <w:rFonts w:hint="default" w:ascii="仿宋_GB2312" w:hAnsi="仿宋_GB2312" w:eastAsia="仿宋_GB2312" w:cs="仿宋_GB2312"/>
          <w:b w:val="0"/>
          <w:bCs w:val="0"/>
          <w:sz w:val="32"/>
          <w:szCs w:val="32"/>
        </w:rPr>
      </w:pPr>
      <w:r>
        <w:rPr>
          <w:rFonts w:ascii="仿宋_GB2312" w:hAnsi="仿宋_GB2312" w:eastAsia="仿宋_GB2312" w:cs="仿宋_GB2312"/>
          <w:b w:val="0"/>
          <w:bCs w:val="0"/>
          <w:kern w:val="0"/>
          <w:sz w:val="32"/>
          <w:szCs w:val="32"/>
        </w:rPr>
        <w:t>（五）质量控制、追溯体系与合规管理体系建设。</w:t>
      </w:r>
      <w:r>
        <w:rPr>
          <w:rFonts w:ascii="仿宋_GB2312" w:hAnsi="仿宋_GB2312" w:eastAsia="仿宋_GB2312" w:cs="仿宋_GB2312"/>
          <w:b w:val="0"/>
          <w:bCs w:val="0"/>
          <w:sz w:val="32"/>
          <w:szCs w:val="32"/>
        </w:rPr>
        <w:t>全流程质量管理体系；细胞全生命周期追溯体系；人类遗传资源合规管理；临床转化合规管理；失信与资质合规承诺；重大事故处置预案。</w:t>
      </w:r>
    </w:p>
    <w:p>
      <w:pPr>
        <w:pStyle w:val="8"/>
        <w:spacing w:before="0" w:after="0" w:line="560" w:lineRule="exact"/>
        <w:ind w:firstLine="640" w:firstLineChars="200"/>
        <w:rPr>
          <w:rFonts w:ascii="黑体" w:hAnsi="黑体" w:eastAsia="黑体" w:cs="黑体"/>
          <w:b w:val="0"/>
          <w:bCs w:val="0"/>
        </w:rPr>
      </w:pPr>
      <w:r>
        <w:rPr>
          <w:rFonts w:hint="eastAsia" w:ascii="黑体" w:hAnsi="黑体" w:eastAsia="黑体" w:cs="黑体"/>
          <w:b w:val="0"/>
          <w:bCs w:val="0"/>
        </w:rPr>
        <w:t>五、投资及预期效益</w:t>
      </w:r>
    </w:p>
    <w:p>
      <w:pPr>
        <w:pStyle w:val="8"/>
        <w:spacing w:before="0" w:after="0" w:line="560" w:lineRule="exact"/>
        <w:ind w:firstLine="640" w:firstLineChars="200"/>
        <w:rPr>
          <w:rFonts w:ascii="仿宋_GB2312" w:hAnsi="仿宋_GB2312" w:eastAsia="仿宋_GB2312" w:cs="仿宋_GB2312"/>
          <w:b w:val="0"/>
          <w:bCs w:val="0"/>
        </w:rPr>
      </w:pPr>
      <w:r>
        <w:rPr>
          <w:rFonts w:hint="eastAsia" w:ascii="仿宋_GB2312" w:hAnsi="仿宋_GB2312" w:eastAsia="仿宋_GB2312" w:cs="仿宋_GB2312"/>
          <w:b w:val="0"/>
          <w:bCs w:val="0"/>
        </w:rPr>
        <w:t>（一）项目计划投资；资金筹措方案；年度资金使用计划等。</w:t>
      </w:r>
    </w:p>
    <w:p>
      <w:pPr>
        <w:pStyle w:val="8"/>
        <w:spacing w:before="0" w:after="0" w:line="560" w:lineRule="exact"/>
        <w:ind w:firstLine="640" w:firstLineChars="200"/>
        <w:rPr>
          <w:rFonts w:ascii="仿宋_GB2312" w:hAnsi="仿宋_GB2312" w:eastAsia="仿宋_GB2312" w:cs="仿宋_GB2312"/>
          <w:b w:val="0"/>
          <w:bCs w:val="0"/>
        </w:rPr>
      </w:pPr>
      <w:r>
        <w:rPr>
          <w:rFonts w:hint="eastAsia" w:ascii="仿宋_GB2312" w:hAnsi="仿宋_GB2312" w:eastAsia="仿宋_GB2312" w:cs="仿宋_GB2312"/>
          <w:b w:val="0"/>
          <w:bCs w:val="0"/>
        </w:rPr>
        <w:t>（二）预期经济效益</w:t>
      </w:r>
    </w:p>
    <w:p>
      <w:pPr>
        <w:pStyle w:val="8"/>
        <w:spacing w:before="0" w:after="0" w:line="560" w:lineRule="exact"/>
        <w:ind w:firstLine="640" w:firstLineChars="200"/>
        <w:rPr>
          <w:rFonts w:ascii="仿宋_GB2312" w:hAnsi="仿宋_GB2312" w:eastAsia="仿宋_GB2312" w:cs="仿宋_GB2312"/>
          <w:b w:val="0"/>
          <w:bCs w:val="0"/>
        </w:rPr>
      </w:pPr>
      <w:r>
        <w:rPr>
          <w:rFonts w:hint="eastAsia" w:ascii="仿宋_GB2312" w:hAnsi="仿宋_GB2312" w:eastAsia="仿宋_GB2312" w:cs="仿宋_GB2312"/>
          <w:b w:val="0"/>
          <w:bCs w:val="0"/>
        </w:rPr>
        <w:t>（三）预期社会效益</w:t>
      </w:r>
    </w:p>
    <w:p>
      <w:pPr>
        <w:pStyle w:val="8"/>
        <w:spacing w:before="0" w:after="0" w:line="560" w:lineRule="exact"/>
        <w:ind w:firstLine="640" w:firstLineChars="200"/>
        <w:rPr>
          <w:rFonts w:ascii="仿宋_GB2312" w:hAnsi="仿宋_GB2312" w:eastAsia="仿宋_GB2312" w:cs="仿宋_GB2312"/>
          <w:b w:val="0"/>
          <w:bCs w:val="0"/>
        </w:rPr>
      </w:pPr>
      <w:r>
        <w:rPr>
          <w:rFonts w:hint="eastAsia" w:ascii="仿宋_GB2312" w:hAnsi="仿宋_GB2312" w:eastAsia="仿宋_GB2312" w:cs="仿宋_GB2312"/>
          <w:b w:val="0"/>
          <w:bCs w:val="0"/>
        </w:rPr>
        <w:t>（四）主要风险及防控措施。合规风险、质量安全风险、资金风险、人才流失风险、市场需求风险等应对措施。</w:t>
      </w:r>
    </w:p>
    <w:p>
      <w:pPr>
        <w:pStyle w:val="7"/>
        <w:widowControl/>
        <w:spacing w:before="0" w:beforeAutospacing="0" w:after="0" w:afterAutospacing="0"/>
        <w:ind w:firstLine="640"/>
        <w:rPr>
          <w:rFonts w:hint="default" w:ascii="黑体" w:hAnsi="黑体" w:eastAsia="黑体" w:cs="黑体"/>
          <w:b w:val="0"/>
          <w:bCs w:val="0"/>
          <w:sz w:val="32"/>
          <w:szCs w:val="32"/>
        </w:rPr>
      </w:pPr>
      <w:r>
        <w:rPr>
          <w:rFonts w:ascii="黑体" w:hAnsi="黑体" w:eastAsia="黑体" w:cs="黑体"/>
          <w:b w:val="0"/>
          <w:bCs w:val="0"/>
          <w:sz w:val="32"/>
          <w:szCs w:val="32"/>
        </w:rPr>
        <w:t>六、其他需要说明事项</w:t>
      </w:r>
    </w:p>
    <w:p>
      <w:pPr>
        <w:pStyle w:val="8"/>
        <w:spacing w:before="0" w:after="0" w:line="560" w:lineRule="exact"/>
        <w:ind w:firstLine="640" w:firstLineChars="200"/>
        <w:rPr>
          <w:rFonts w:ascii="仿宋_GB2312" w:hAnsi="仿宋_GB2312" w:eastAsia="仿宋_GB2312" w:cs="仿宋_GB2312"/>
          <w:b w:val="0"/>
          <w:bCs w:val="0"/>
        </w:rPr>
      </w:pPr>
      <w:r>
        <w:rPr>
          <w:rFonts w:hint="eastAsia" w:ascii="仿宋_GB2312" w:hAnsi="仿宋_GB2312" w:eastAsia="仿宋_GB2312" w:cs="仿宋_GB2312"/>
          <w:b w:val="0"/>
          <w:bCs w:val="0"/>
        </w:rPr>
        <w:t>（一）重大违规处置承诺。若出现虚假材料、重大质量安全事故、严重失信、资质吊销等管理办法第二十条所列情形，自愿接受撤销中心资格处理。</w:t>
      </w:r>
    </w:p>
    <w:p>
      <w:pPr>
        <w:pStyle w:val="26"/>
        <w:spacing w:before="0" w:after="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（二）牵头单位及参与单位无严重失信、无行政处罚、无联合惩戒承诺声明。</w:t>
      </w:r>
    </w:p>
    <w:p>
      <w:pPr>
        <w:pStyle w:val="7"/>
        <w:widowControl/>
        <w:spacing w:before="0" w:beforeAutospacing="0" w:after="0" w:afterAutospacing="0"/>
        <w:ind w:firstLine="640"/>
        <w:rPr>
          <w:rFonts w:hint="default" w:ascii="黑体" w:hAnsi="黑体" w:eastAsia="黑体" w:cs="黑体"/>
          <w:b w:val="0"/>
          <w:bCs w:val="0"/>
          <w:sz w:val="32"/>
          <w:szCs w:val="32"/>
        </w:rPr>
      </w:pPr>
      <w:r>
        <w:rPr>
          <w:rFonts w:ascii="黑体" w:hAnsi="黑体" w:eastAsia="黑体" w:cs="黑体"/>
          <w:b w:val="0"/>
          <w:bCs w:val="0"/>
          <w:sz w:val="32"/>
          <w:szCs w:val="32"/>
        </w:rPr>
        <w:t>七、附件清单</w:t>
      </w:r>
    </w:p>
    <w:p>
      <w:pPr>
        <w:ind w:firstLine="640"/>
      </w:pPr>
      <w:r>
        <w:rPr>
          <w:rFonts w:hint="eastAsia"/>
        </w:rPr>
        <w:t>包含但不限于以下材料：</w:t>
      </w:r>
    </w:p>
    <w:p>
      <w:pPr>
        <w:ind w:firstLine="640"/>
      </w:pPr>
      <w:r>
        <w:rPr>
          <w:rFonts w:hint="eastAsia"/>
        </w:rPr>
        <w:t>（一）资质类：牵头单位及各共建单位营业执照/法人证书；医疗器械生产/经营许可证（如有）；医疗机构执业许可证（如有）；人类遗传资源管理相关资质；药品生产/经营许可证（如有）；近三年信用报告；无重大安全事故证明。</w:t>
      </w:r>
    </w:p>
    <w:p>
      <w:pPr>
        <w:ind w:firstLine="640"/>
      </w:pPr>
      <w:r>
        <w:rPr>
          <w:rFonts w:hint="eastAsia"/>
        </w:rPr>
        <w:t>（二）场地设施类：场地所有权/使用权证明；洁净车间第三方检测报告；场地功能分区平面图（含人流、物流、污物流布局）；符合GMP及《细胞治疗产品生产质量管理指南（试行）》的说明文件；独立质检实验室建设情况及检测能力证明。</w:t>
      </w:r>
    </w:p>
    <w:p>
      <w:pPr>
        <w:ind w:firstLine="640"/>
      </w:pPr>
      <w:r>
        <w:rPr>
          <w:rFonts w:hint="eastAsia"/>
        </w:rPr>
        <w:t>（三）仪器设备类：主要仪器设备配置清单（含名称、型号、数量、用途）；仪器设备校准/检定证书；核心设备采购合同/发票。</w:t>
      </w:r>
    </w:p>
    <w:p>
      <w:pPr>
        <w:ind w:firstLine="640"/>
      </w:pPr>
      <w:r>
        <w:rPr>
          <w:rFonts w:hint="eastAsia"/>
        </w:rPr>
        <w:t>（四）人员团队类：核心团队成员简历（含中心主任、质量负责人、生物安全负责人等）；质量负责人从业资质证明；专职人员名单及资质证明；全员培训考核体系文件。</w:t>
      </w:r>
    </w:p>
    <w:p>
      <w:pPr>
        <w:ind w:firstLine="640"/>
      </w:pPr>
      <w:r>
        <w:rPr>
          <w:rFonts w:hint="eastAsia"/>
        </w:rPr>
        <w:t>（五）技术成果类：细胞相关发明专利证书；专利申请受理通知书；自主制备工艺技术文件；临床研究备案项目证明；参与标准制定证明（如有）。</w:t>
      </w:r>
    </w:p>
    <w:p>
      <w:pPr>
        <w:ind w:firstLine="640"/>
      </w:pPr>
      <w:r>
        <w:rPr>
          <w:rFonts w:hint="eastAsia"/>
        </w:rPr>
        <w:t>（六）制度体系类：质量管理体系文件；全流程追溯体系文件（“一人一码、一批一码”）；信息数据库建设方案；生物安全管理制度（含应急预案）；伦理审查制度文件；人类遗传资源管理制度。</w:t>
      </w:r>
    </w:p>
    <w:p>
      <w:pPr>
        <w:ind w:firstLine="640"/>
      </w:pPr>
      <w:r>
        <w:rPr>
          <w:rFonts w:hint="eastAsia"/>
        </w:rPr>
        <w:t>（七）合作协议与财务类：共建合作协议；近三年审计报告/财务报表；研发投入专项审计报告；资金投入保障承诺函；总投资分项概算表。</w:t>
      </w:r>
    </w:p>
    <w:p>
      <w:pPr>
        <w:ind w:firstLine="640"/>
      </w:pPr>
      <w:r>
        <w:rPr>
          <w:rFonts w:hint="eastAsia"/>
        </w:rPr>
        <w:t>（八）其他：其他相关证明材料；真实性承诺书等。</w:t>
      </w:r>
    </w:p>
    <w:p>
      <w:pPr>
        <w:ind w:firstLine="640"/>
      </w:pPr>
    </w:p>
    <w:p>
      <w:pPr>
        <w:ind w:firstLine="640"/>
      </w:pPr>
    </w:p>
    <w:p>
      <w:pPr>
        <w:pStyle w:val="26"/>
        <w:spacing w:before="0" w:after="0" w:line="560" w:lineRule="exact"/>
        <w:ind w:firstLine="640" w:firstLineChars="200"/>
        <w:rPr>
          <w:rFonts w:ascii="仿宋_GB2312" w:hAnsi="仿宋_GB2312" w:eastAsia="仿宋_GB2312" w:cs="仿宋_GB2312"/>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134" w:left="1588" w:header="851" w:footer="992" w:gutter="0"/>
          <w:cols w:space="425" w:num="1"/>
          <w:docGrid w:type="lines" w:linePitch="312" w:charSpace="0"/>
        </w:sectPr>
      </w:pPr>
    </w:p>
    <w:p>
      <w:pPr>
        <w:ind w:firstLine="0" w:firstLineChars="0"/>
        <w:jc w:val="left"/>
        <w:rPr>
          <w:rFonts w:hint="eastAsia" w:ascii="黑体" w:hAnsi="黑体" w:eastAsia="黑体" w:cs="黑体"/>
          <w:szCs w:val="32"/>
          <w:lang w:val="en-US" w:eastAsia="zh-CN"/>
        </w:rPr>
      </w:pPr>
      <w:r>
        <w:rPr>
          <w:rFonts w:hint="eastAsia" w:ascii="黑体" w:hAnsi="黑体" w:eastAsia="黑体" w:cs="黑体"/>
          <w:szCs w:val="32"/>
        </w:rPr>
        <w:t>附件</w:t>
      </w:r>
      <w:r>
        <w:rPr>
          <w:rFonts w:hint="eastAsia" w:ascii="黑体" w:hAnsi="黑体" w:eastAsia="黑体" w:cs="黑体"/>
          <w:szCs w:val="32"/>
          <w:lang w:val="en-US" w:eastAsia="zh-CN"/>
        </w:rPr>
        <w:t>3</w:t>
      </w:r>
    </w:p>
    <w:p>
      <w:pPr>
        <w:adjustRightInd w:val="0"/>
        <w:snapToGrid w:val="0"/>
        <w:spacing w:line="560" w:lineRule="exact"/>
        <w:ind w:firstLine="0" w:firstLineChars="0"/>
        <w:jc w:val="center"/>
        <w:rPr>
          <w:rFonts w:hint="eastAsia" w:eastAsia="方正小标宋_GBK"/>
          <w:kern w:val="0"/>
          <w:sz w:val="44"/>
          <w:szCs w:val="44"/>
        </w:rPr>
      </w:pPr>
      <w:r>
        <w:rPr>
          <w:rFonts w:eastAsia="方正小标宋_GBK"/>
          <w:kern w:val="0"/>
          <w:sz w:val="44"/>
          <w:szCs w:val="44"/>
        </w:rPr>
        <w:t>真实性</w:t>
      </w:r>
      <w:r>
        <w:rPr>
          <w:rFonts w:hint="eastAsia" w:eastAsia="方正小标宋_GBK"/>
          <w:kern w:val="0"/>
          <w:sz w:val="44"/>
          <w:szCs w:val="44"/>
        </w:rPr>
        <w:t>承诺书</w:t>
      </w:r>
    </w:p>
    <w:p>
      <w:pPr>
        <w:adjustRightInd w:val="0"/>
        <w:snapToGrid w:val="0"/>
        <w:spacing w:line="560" w:lineRule="exact"/>
        <w:ind w:firstLine="0" w:firstLineChars="0"/>
        <w:jc w:val="center"/>
        <w:rPr>
          <w:rFonts w:eastAsia="方正小标宋_GBK"/>
          <w:kern w:val="0"/>
          <w:sz w:val="44"/>
          <w:szCs w:val="44"/>
        </w:rPr>
      </w:pPr>
      <w:r>
        <w:rPr>
          <w:rFonts w:eastAsia="方正小标宋_GBK"/>
          <w:kern w:val="0"/>
          <w:sz w:val="44"/>
          <w:szCs w:val="44"/>
        </w:rPr>
        <w:t>（样式）</w:t>
      </w:r>
    </w:p>
    <w:p>
      <w:pPr>
        <w:adjustRightInd w:val="0"/>
        <w:snapToGrid w:val="0"/>
        <w:spacing w:line="560" w:lineRule="exact"/>
        <w:jc w:val="center"/>
        <w:rPr>
          <w:kern w:val="0"/>
          <w:sz w:val="44"/>
          <w:szCs w:val="44"/>
        </w:rPr>
      </w:pPr>
    </w:p>
    <w:p>
      <w:pPr>
        <w:adjustRightInd w:val="0"/>
        <w:snapToGrid w:val="0"/>
        <w:spacing w:line="560" w:lineRule="exact"/>
        <w:rPr>
          <w:rFonts w:eastAsia="仿宋_GB2312"/>
          <w:kern w:val="0"/>
          <w:szCs w:val="32"/>
        </w:rPr>
      </w:pPr>
      <w:r>
        <w:rPr>
          <w:kern w:val="0"/>
          <w:sz w:val="18"/>
          <w:szCs w:val="18"/>
        </w:rPr>
        <w:t xml:space="preserve">        </w:t>
      </w:r>
      <w:r>
        <w:rPr>
          <w:rFonts w:hint="eastAsia"/>
          <w:kern w:val="0"/>
          <w:sz w:val="18"/>
          <w:szCs w:val="18"/>
          <w:lang w:val="en-US" w:eastAsia="zh-CN"/>
        </w:rPr>
        <w:t xml:space="preserve"> </w:t>
      </w:r>
      <w:r>
        <w:rPr>
          <w:rFonts w:eastAsia="仿宋_GB2312"/>
          <w:kern w:val="0"/>
          <w:szCs w:val="32"/>
        </w:rPr>
        <w:t>我单位</w:t>
      </w:r>
      <w:r>
        <w:rPr>
          <w:rFonts w:hint="eastAsia" w:eastAsia="仿宋_GB2312"/>
          <w:kern w:val="0"/>
          <w:szCs w:val="32"/>
        </w:rPr>
        <w:t>承诺</w:t>
      </w:r>
      <w:r>
        <w:rPr>
          <w:rFonts w:eastAsia="仿宋_GB2312"/>
          <w:kern w:val="0"/>
          <w:szCs w:val="32"/>
        </w:rPr>
        <w:t>：在参加</w:t>
      </w:r>
      <w:r>
        <w:rPr>
          <w:rFonts w:hint="eastAsia" w:eastAsia="仿宋_GB2312"/>
          <w:kern w:val="0"/>
          <w:szCs w:val="32"/>
        </w:rPr>
        <w:t>山东省区域细胞制备中心</w:t>
      </w:r>
      <w:r>
        <w:rPr>
          <w:rFonts w:hint="eastAsia"/>
          <w:kern w:val="0"/>
          <w:szCs w:val="32"/>
          <w:lang w:eastAsia="zh-CN"/>
        </w:rPr>
        <w:t>申报</w:t>
      </w:r>
      <w:r>
        <w:rPr>
          <w:rFonts w:eastAsia="仿宋_GB2312"/>
          <w:kern w:val="0"/>
          <w:szCs w:val="32"/>
        </w:rPr>
        <w:t>时，提交的所有申报材料均真实、有效、合法。如有不实之处，愿负相应责任，并承担由此产生的一切后果。</w:t>
      </w:r>
    </w:p>
    <w:p>
      <w:pPr>
        <w:adjustRightInd w:val="0"/>
        <w:snapToGrid w:val="0"/>
        <w:spacing w:line="560" w:lineRule="exact"/>
        <w:jc w:val="left"/>
        <w:rPr>
          <w:rFonts w:hint="eastAsia" w:eastAsia="仿宋_GB2312"/>
          <w:kern w:val="0"/>
          <w:szCs w:val="32"/>
        </w:rPr>
      </w:pPr>
    </w:p>
    <w:p>
      <w:pPr>
        <w:adjustRightInd w:val="0"/>
        <w:snapToGrid w:val="0"/>
        <w:spacing w:line="560" w:lineRule="exact"/>
        <w:jc w:val="left"/>
        <w:rPr>
          <w:rFonts w:hint="eastAsia" w:eastAsia="仿宋_GB2312"/>
          <w:kern w:val="0"/>
          <w:szCs w:val="32"/>
        </w:rPr>
      </w:pPr>
    </w:p>
    <w:p>
      <w:pPr>
        <w:adjustRightInd w:val="0"/>
        <w:snapToGrid w:val="0"/>
        <w:spacing w:line="560" w:lineRule="exact"/>
        <w:jc w:val="left"/>
        <w:rPr>
          <w:rFonts w:eastAsia="仿宋_GB2312"/>
          <w:kern w:val="0"/>
          <w:szCs w:val="32"/>
        </w:rPr>
      </w:pPr>
    </w:p>
    <w:p>
      <w:pPr>
        <w:adjustRightInd w:val="0"/>
        <w:snapToGrid w:val="0"/>
        <w:spacing w:line="560" w:lineRule="exact"/>
        <w:ind w:left="4738" w:hanging="4800" w:hangingChars="1500"/>
        <w:jc w:val="left"/>
        <w:rPr>
          <w:rFonts w:eastAsia="仿宋_GB2312"/>
          <w:kern w:val="0"/>
          <w:szCs w:val="32"/>
        </w:rPr>
      </w:pPr>
      <w:r>
        <w:rPr>
          <w:rFonts w:eastAsia="仿宋_GB2312"/>
          <w:kern w:val="0"/>
          <w:szCs w:val="32"/>
        </w:rPr>
        <w:t xml:space="preserve">                       </w:t>
      </w:r>
      <w:r>
        <w:rPr>
          <w:rFonts w:hint="eastAsia"/>
          <w:kern w:val="0"/>
          <w:szCs w:val="32"/>
          <w:lang w:val="en-US" w:eastAsia="zh-CN"/>
        </w:rPr>
        <w:t>牵头</w:t>
      </w:r>
      <w:r>
        <w:rPr>
          <w:rFonts w:eastAsia="仿宋_GB2312"/>
          <w:kern w:val="0"/>
          <w:szCs w:val="32"/>
        </w:rPr>
        <w:t>单位（盖章）</w:t>
      </w:r>
      <w:r>
        <w:rPr>
          <w:rFonts w:hint="eastAsia" w:eastAsia="仿宋_GB2312"/>
          <w:kern w:val="0"/>
          <w:szCs w:val="32"/>
        </w:rPr>
        <w:t xml:space="preserve">     共建单位（盖章）</w:t>
      </w:r>
    </w:p>
    <w:p>
      <w:pPr>
        <w:adjustRightInd w:val="0"/>
        <w:snapToGrid w:val="0"/>
        <w:spacing w:line="560" w:lineRule="exact"/>
        <w:ind w:left="3790" w:hanging="3840" w:hangingChars="1200"/>
        <w:jc w:val="left"/>
        <w:rPr>
          <w:rFonts w:hint="eastAsia"/>
          <w:sz w:val="28"/>
          <w:szCs w:val="28"/>
        </w:rPr>
      </w:pPr>
      <w:r>
        <w:rPr>
          <w:rFonts w:eastAsia="仿宋_GB2312"/>
          <w:kern w:val="0"/>
          <w:szCs w:val="32"/>
        </w:rPr>
        <w:t>                       年   月   日</w:t>
      </w:r>
      <w:r>
        <w:rPr>
          <w:rFonts w:hint="eastAsia" w:eastAsia="仿宋_GB2312"/>
          <w:kern w:val="0"/>
          <w:szCs w:val="32"/>
        </w:rPr>
        <w:t xml:space="preserve">        </w:t>
      </w:r>
      <w:r>
        <w:rPr>
          <w:rFonts w:eastAsia="仿宋_GB2312"/>
          <w:kern w:val="0"/>
          <w:szCs w:val="32"/>
        </w:rPr>
        <w:t>   年   月   日</w:t>
      </w:r>
    </w:p>
    <w:p>
      <w:pPr>
        <w:ind w:firstLine="0" w:firstLineChars="0"/>
        <w:jc w:val="left"/>
        <w:rPr>
          <w:rFonts w:hint="eastAsia" w:ascii="黑体" w:hAnsi="黑体" w:eastAsia="黑体" w:cs="黑体"/>
          <w:szCs w:val="32"/>
          <w:lang w:val="en-US" w:eastAsia="zh-CN"/>
        </w:rPr>
      </w:pPr>
    </w:p>
    <w:p>
      <w:pPr>
        <w:rPr>
          <w:rFonts w:ascii="仿宋_GB2312" w:hAnsi="仿宋_GB2312" w:eastAsia="仿宋_GB2312" w:cs="仿宋_GB2312"/>
          <w:sz w:val="32"/>
          <w:szCs w:val="32"/>
          <w:lang w:val="en"/>
        </w:rPr>
      </w:pPr>
    </w:p>
    <w:sectPr>
      <w:pgSz w:w="11906" w:h="16838"/>
      <w:pgMar w:top="2098" w:right="1474" w:bottom="1134"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0000000000000000000"/>
    <w:charset w:val="86"/>
    <w:family w:val="auto"/>
    <w:pitch w:val="default"/>
    <w:sig w:usb0="00000000" w:usb1="00000000" w:usb2="00000016" w:usb3="00000000" w:csb0="0004000F" w:csb1="00000000"/>
  </w:font>
  <w:font w:name="DejaVu Sans">
    <w:panose1 w:val="020B0603030804020204"/>
    <w:charset w:val="00"/>
    <w:family w:val="auto"/>
    <w:pitch w:val="default"/>
    <w:sig w:usb0="E7006EFF" w:usb1="D200FDFF" w:usb2="0A246029" w:usb3="0400200C" w:csb0="600001FF" w:csb1="DFFF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汉仪粗宋简">
    <w:panose1 w:val="02010609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Theme="minorEastAsia" w:hAnsiTheme="minorEastAsia"/>
        <w:sz w:val="28"/>
        <w:szCs w:val="28"/>
      </w:rPr>
    </w:sdtEndPr>
    <w:sdtContent>
      <w:p>
        <w:pPr>
          <w:pStyle w:val="12"/>
          <w:ind w:firstLine="360"/>
          <w:jc w:val="right"/>
          <w:rPr>
            <w:rFonts w:asciiTheme="minorEastAsia" w:hAnsiTheme="minorEastAsia"/>
            <w:sz w:val="28"/>
            <w:szCs w:val="28"/>
          </w:rPr>
        </w:pPr>
        <w:r>
          <w:rPr>
            <w:rFonts w:hint="eastAsia"/>
            <w:sz w:val="28"/>
            <w:szCs w:val="28"/>
          </w:rPr>
          <w:t>—</w:t>
        </w: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3</w:t>
        </w:r>
        <w:r>
          <w:rPr>
            <w:rFonts w:asciiTheme="minorEastAsia" w:hAnsiTheme="minorEastAsia"/>
            <w:sz w:val="28"/>
            <w:szCs w:val="28"/>
          </w:rPr>
          <w:fldChar w:fldCharType="end"/>
        </w:r>
        <w:r>
          <w:rPr>
            <w:rFonts w:hint="eastAsia"/>
            <w:sz w:val="28"/>
            <w:szCs w:val="28"/>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87970528"/>
    </w:sdtPr>
    <w:sdtEndPr>
      <w:rPr>
        <w:rFonts w:asciiTheme="minorEastAsia" w:hAnsiTheme="minorEastAsia"/>
        <w:sz w:val="28"/>
        <w:szCs w:val="28"/>
      </w:rPr>
    </w:sdtEndPr>
    <w:sdtContent>
      <w:p>
        <w:pPr>
          <w:pStyle w:val="12"/>
          <w:ind w:right="90" w:firstLine="360"/>
          <w:rPr>
            <w:rFonts w:asciiTheme="minorEastAsia" w:hAnsiTheme="minorEastAsia"/>
            <w:sz w:val="28"/>
            <w:szCs w:val="28"/>
          </w:rPr>
        </w:pPr>
        <w:r>
          <w:rPr>
            <w:rFonts w:hint="eastAsia"/>
            <w:sz w:val="28"/>
            <w:szCs w:val="28"/>
          </w:rPr>
          <w:t>—</w:t>
        </w: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4</w:t>
        </w:r>
        <w:r>
          <w:rPr>
            <w:rFonts w:asciiTheme="minorEastAsia" w:hAnsiTheme="minorEastAsia"/>
            <w:sz w:val="28"/>
            <w:szCs w:val="28"/>
          </w:rPr>
          <w:fldChar w:fldCharType="end"/>
        </w:r>
        <w:r>
          <w:rPr>
            <w:rFonts w:hint="eastAsia"/>
            <w:sz w:val="28"/>
            <w:szCs w:val="28"/>
          </w:rPr>
          <w:t>—</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EDF"/>
    <w:rsid w:val="00007E3A"/>
    <w:rsid w:val="00026D91"/>
    <w:rsid w:val="00027289"/>
    <w:rsid w:val="000349BE"/>
    <w:rsid w:val="00042104"/>
    <w:rsid w:val="00045DB7"/>
    <w:rsid w:val="00047A6A"/>
    <w:rsid w:val="0006328B"/>
    <w:rsid w:val="00066FAB"/>
    <w:rsid w:val="0007032A"/>
    <w:rsid w:val="0007258C"/>
    <w:rsid w:val="000801BB"/>
    <w:rsid w:val="00085E40"/>
    <w:rsid w:val="00091CD1"/>
    <w:rsid w:val="000B3CB2"/>
    <w:rsid w:val="000B68A6"/>
    <w:rsid w:val="000B735A"/>
    <w:rsid w:val="000C002A"/>
    <w:rsid w:val="000C14B9"/>
    <w:rsid w:val="000D1318"/>
    <w:rsid w:val="001066E0"/>
    <w:rsid w:val="00125582"/>
    <w:rsid w:val="00147A25"/>
    <w:rsid w:val="001509E1"/>
    <w:rsid w:val="00151A25"/>
    <w:rsid w:val="00154B53"/>
    <w:rsid w:val="00167D19"/>
    <w:rsid w:val="00181C52"/>
    <w:rsid w:val="0018203A"/>
    <w:rsid w:val="00183F1F"/>
    <w:rsid w:val="00187F28"/>
    <w:rsid w:val="0019482E"/>
    <w:rsid w:val="001B04BC"/>
    <w:rsid w:val="001C5CFE"/>
    <w:rsid w:val="001D0DD5"/>
    <w:rsid w:val="002135B9"/>
    <w:rsid w:val="00217C6C"/>
    <w:rsid w:val="002239EF"/>
    <w:rsid w:val="002240F6"/>
    <w:rsid w:val="0022698F"/>
    <w:rsid w:val="00247D17"/>
    <w:rsid w:val="00266072"/>
    <w:rsid w:val="0026713C"/>
    <w:rsid w:val="002B7DA5"/>
    <w:rsid w:val="002C739C"/>
    <w:rsid w:val="002C7BB2"/>
    <w:rsid w:val="002D0739"/>
    <w:rsid w:val="002D5828"/>
    <w:rsid w:val="002D660D"/>
    <w:rsid w:val="002E1C06"/>
    <w:rsid w:val="002E39DC"/>
    <w:rsid w:val="002F00EC"/>
    <w:rsid w:val="00340522"/>
    <w:rsid w:val="00340D07"/>
    <w:rsid w:val="00347B4F"/>
    <w:rsid w:val="003542CB"/>
    <w:rsid w:val="0036238D"/>
    <w:rsid w:val="003678CF"/>
    <w:rsid w:val="00375D69"/>
    <w:rsid w:val="00376F67"/>
    <w:rsid w:val="00380BBD"/>
    <w:rsid w:val="00383540"/>
    <w:rsid w:val="00390180"/>
    <w:rsid w:val="003A7DBB"/>
    <w:rsid w:val="003B05EB"/>
    <w:rsid w:val="003C08A6"/>
    <w:rsid w:val="003C54B7"/>
    <w:rsid w:val="003C6CE9"/>
    <w:rsid w:val="003D1750"/>
    <w:rsid w:val="003E40FE"/>
    <w:rsid w:val="003F2DF4"/>
    <w:rsid w:val="003F3D47"/>
    <w:rsid w:val="00404ECF"/>
    <w:rsid w:val="00413667"/>
    <w:rsid w:val="00425320"/>
    <w:rsid w:val="00431945"/>
    <w:rsid w:val="00442981"/>
    <w:rsid w:val="0046461F"/>
    <w:rsid w:val="00473780"/>
    <w:rsid w:val="00483AB3"/>
    <w:rsid w:val="0048543B"/>
    <w:rsid w:val="004972DF"/>
    <w:rsid w:val="004B428E"/>
    <w:rsid w:val="004C5811"/>
    <w:rsid w:val="004C7505"/>
    <w:rsid w:val="004C7726"/>
    <w:rsid w:val="004C7D60"/>
    <w:rsid w:val="004D0D79"/>
    <w:rsid w:val="004D73E3"/>
    <w:rsid w:val="004E7E64"/>
    <w:rsid w:val="00502FEF"/>
    <w:rsid w:val="005224D8"/>
    <w:rsid w:val="00530C0F"/>
    <w:rsid w:val="00532434"/>
    <w:rsid w:val="005328CE"/>
    <w:rsid w:val="005478D0"/>
    <w:rsid w:val="00561450"/>
    <w:rsid w:val="005628B8"/>
    <w:rsid w:val="00570172"/>
    <w:rsid w:val="00582BC4"/>
    <w:rsid w:val="0058795D"/>
    <w:rsid w:val="00593AA0"/>
    <w:rsid w:val="005A04AF"/>
    <w:rsid w:val="005A5E71"/>
    <w:rsid w:val="005B344E"/>
    <w:rsid w:val="005C3849"/>
    <w:rsid w:val="005C6AE6"/>
    <w:rsid w:val="005D2995"/>
    <w:rsid w:val="005D5F01"/>
    <w:rsid w:val="005E15D0"/>
    <w:rsid w:val="005F506B"/>
    <w:rsid w:val="005F5696"/>
    <w:rsid w:val="006005EC"/>
    <w:rsid w:val="00602F75"/>
    <w:rsid w:val="00633AFC"/>
    <w:rsid w:val="006350E7"/>
    <w:rsid w:val="00645AE5"/>
    <w:rsid w:val="006604BA"/>
    <w:rsid w:val="00661F3D"/>
    <w:rsid w:val="00670297"/>
    <w:rsid w:val="00674D53"/>
    <w:rsid w:val="006777D5"/>
    <w:rsid w:val="00680DC7"/>
    <w:rsid w:val="00680F78"/>
    <w:rsid w:val="0068261A"/>
    <w:rsid w:val="00683357"/>
    <w:rsid w:val="00687574"/>
    <w:rsid w:val="006A2A3E"/>
    <w:rsid w:val="006A7403"/>
    <w:rsid w:val="006B2FE1"/>
    <w:rsid w:val="006C06BE"/>
    <w:rsid w:val="006C4D22"/>
    <w:rsid w:val="006C5E60"/>
    <w:rsid w:val="006D2652"/>
    <w:rsid w:val="006D2F40"/>
    <w:rsid w:val="006D511E"/>
    <w:rsid w:val="006E0EB3"/>
    <w:rsid w:val="006E11C0"/>
    <w:rsid w:val="006F60AA"/>
    <w:rsid w:val="006F7040"/>
    <w:rsid w:val="00705C38"/>
    <w:rsid w:val="00711B50"/>
    <w:rsid w:val="00720E95"/>
    <w:rsid w:val="0075227C"/>
    <w:rsid w:val="00752C0F"/>
    <w:rsid w:val="007567F4"/>
    <w:rsid w:val="00762AF7"/>
    <w:rsid w:val="00763A15"/>
    <w:rsid w:val="00770287"/>
    <w:rsid w:val="007721BB"/>
    <w:rsid w:val="00775F37"/>
    <w:rsid w:val="00776FA5"/>
    <w:rsid w:val="00782D45"/>
    <w:rsid w:val="00793C7F"/>
    <w:rsid w:val="007A158A"/>
    <w:rsid w:val="007A3C38"/>
    <w:rsid w:val="007A5290"/>
    <w:rsid w:val="007A778D"/>
    <w:rsid w:val="007B5C78"/>
    <w:rsid w:val="007B6455"/>
    <w:rsid w:val="007B72E1"/>
    <w:rsid w:val="007D1D14"/>
    <w:rsid w:val="007D4DA5"/>
    <w:rsid w:val="007D6486"/>
    <w:rsid w:val="007E1492"/>
    <w:rsid w:val="007E1EE7"/>
    <w:rsid w:val="007F3966"/>
    <w:rsid w:val="007F64D8"/>
    <w:rsid w:val="00811D6D"/>
    <w:rsid w:val="0081770A"/>
    <w:rsid w:val="00844285"/>
    <w:rsid w:val="00856206"/>
    <w:rsid w:val="00863C12"/>
    <w:rsid w:val="00864ADC"/>
    <w:rsid w:val="00871DB7"/>
    <w:rsid w:val="008751B8"/>
    <w:rsid w:val="00877AC7"/>
    <w:rsid w:val="00881C4F"/>
    <w:rsid w:val="008873FE"/>
    <w:rsid w:val="008908D8"/>
    <w:rsid w:val="008A1C5A"/>
    <w:rsid w:val="008A3C7A"/>
    <w:rsid w:val="008A743A"/>
    <w:rsid w:val="008C3315"/>
    <w:rsid w:val="008C6612"/>
    <w:rsid w:val="008D3C8D"/>
    <w:rsid w:val="008E554B"/>
    <w:rsid w:val="008F09DA"/>
    <w:rsid w:val="008F31FE"/>
    <w:rsid w:val="0090714B"/>
    <w:rsid w:val="0091067C"/>
    <w:rsid w:val="0091471A"/>
    <w:rsid w:val="009201D3"/>
    <w:rsid w:val="00930AD9"/>
    <w:rsid w:val="009351BA"/>
    <w:rsid w:val="00935804"/>
    <w:rsid w:val="00935FBE"/>
    <w:rsid w:val="009404EA"/>
    <w:rsid w:val="00945F38"/>
    <w:rsid w:val="009574C5"/>
    <w:rsid w:val="009602BA"/>
    <w:rsid w:val="00964FBD"/>
    <w:rsid w:val="0096592F"/>
    <w:rsid w:val="009659EF"/>
    <w:rsid w:val="0096667E"/>
    <w:rsid w:val="00973888"/>
    <w:rsid w:val="00986B0A"/>
    <w:rsid w:val="009B2453"/>
    <w:rsid w:val="009B659A"/>
    <w:rsid w:val="009D1F4F"/>
    <w:rsid w:val="009D2FAC"/>
    <w:rsid w:val="009D3E82"/>
    <w:rsid w:val="009D6014"/>
    <w:rsid w:val="009D6854"/>
    <w:rsid w:val="009E0550"/>
    <w:rsid w:val="009E4D7D"/>
    <w:rsid w:val="009E5B73"/>
    <w:rsid w:val="009E6C03"/>
    <w:rsid w:val="009E719B"/>
    <w:rsid w:val="009E7E63"/>
    <w:rsid w:val="00A21C80"/>
    <w:rsid w:val="00A21E10"/>
    <w:rsid w:val="00A240A2"/>
    <w:rsid w:val="00A249D4"/>
    <w:rsid w:val="00A270B4"/>
    <w:rsid w:val="00A35A5F"/>
    <w:rsid w:val="00A40299"/>
    <w:rsid w:val="00A47777"/>
    <w:rsid w:val="00A51348"/>
    <w:rsid w:val="00A60418"/>
    <w:rsid w:val="00A914A9"/>
    <w:rsid w:val="00A93F80"/>
    <w:rsid w:val="00A960CC"/>
    <w:rsid w:val="00AA2E4B"/>
    <w:rsid w:val="00AA37B6"/>
    <w:rsid w:val="00AA4E7E"/>
    <w:rsid w:val="00AB7295"/>
    <w:rsid w:val="00AC0D34"/>
    <w:rsid w:val="00AC568C"/>
    <w:rsid w:val="00AD1494"/>
    <w:rsid w:val="00AD4BEC"/>
    <w:rsid w:val="00AF0A34"/>
    <w:rsid w:val="00AF2470"/>
    <w:rsid w:val="00AF793E"/>
    <w:rsid w:val="00B005E4"/>
    <w:rsid w:val="00B20414"/>
    <w:rsid w:val="00B276E5"/>
    <w:rsid w:val="00B30525"/>
    <w:rsid w:val="00B325D3"/>
    <w:rsid w:val="00B36D65"/>
    <w:rsid w:val="00B400B1"/>
    <w:rsid w:val="00B43AFE"/>
    <w:rsid w:val="00B52B2C"/>
    <w:rsid w:val="00B52D9B"/>
    <w:rsid w:val="00B53F3F"/>
    <w:rsid w:val="00B632AA"/>
    <w:rsid w:val="00B640FA"/>
    <w:rsid w:val="00B679C8"/>
    <w:rsid w:val="00B705EA"/>
    <w:rsid w:val="00B70A91"/>
    <w:rsid w:val="00B73F3B"/>
    <w:rsid w:val="00B76DA3"/>
    <w:rsid w:val="00B90C93"/>
    <w:rsid w:val="00BA1F95"/>
    <w:rsid w:val="00BA39DF"/>
    <w:rsid w:val="00BB1E04"/>
    <w:rsid w:val="00BC0E1A"/>
    <w:rsid w:val="00BD0EE8"/>
    <w:rsid w:val="00BF3700"/>
    <w:rsid w:val="00BF49F8"/>
    <w:rsid w:val="00BF59CC"/>
    <w:rsid w:val="00BF6C03"/>
    <w:rsid w:val="00C02646"/>
    <w:rsid w:val="00C24C5F"/>
    <w:rsid w:val="00C32AD7"/>
    <w:rsid w:val="00C40B79"/>
    <w:rsid w:val="00C45AA7"/>
    <w:rsid w:val="00C60E47"/>
    <w:rsid w:val="00C64D22"/>
    <w:rsid w:val="00C74058"/>
    <w:rsid w:val="00C94E23"/>
    <w:rsid w:val="00CA02C7"/>
    <w:rsid w:val="00CA0A2C"/>
    <w:rsid w:val="00CA74B1"/>
    <w:rsid w:val="00CB061C"/>
    <w:rsid w:val="00CB453B"/>
    <w:rsid w:val="00CB7862"/>
    <w:rsid w:val="00CB7959"/>
    <w:rsid w:val="00CC2ED1"/>
    <w:rsid w:val="00CD1E72"/>
    <w:rsid w:val="00CD56BA"/>
    <w:rsid w:val="00CE580A"/>
    <w:rsid w:val="00CE682D"/>
    <w:rsid w:val="00CF1974"/>
    <w:rsid w:val="00CF1B61"/>
    <w:rsid w:val="00CF54BF"/>
    <w:rsid w:val="00CF5E04"/>
    <w:rsid w:val="00CF6742"/>
    <w:rsid w:val="00D01C6F"/>
    <w:rsid w:val="00D03C15"/>
    <w:rsid w:val="00D16DA8"/>
    <w:rsid w:val="00D35F85"/>
    <w:rsid w:val="00D42202"/>
    <w:rsid w:val="00D43939"/>
    <w:rsid w:val="00D55BC4"/>
    <w:rsid w:val="00D60607"/>
    <w:rsid w:val="00D61393"/>
    <w:rsid w:val="00D72F2D"/>
    <w:rsid w:val="00D7314C"/>
    <w:rsid w:val="00D7527B"/>
    <w:rsid w:val="00D8232A"/>
    <w:rsid w:val="00D84953"/>
    <w:rsid w:val="00D940C7"/>
    <w:rsid w:val="00D96811"/>
    <w:rsid w:val="00DA35DC"/>
    <w:rsid w:val="00DC17A4"/>
    <w:rsid w:val="00DC26A1"/>
    <w:rsid w:val="00DC5814"/>
    <w:rsid w:val="00DC5D57"/>
    <w:rsid w:val="00DD12C6"/>
    <w:rsid w:val="00DE4520"/>
    <w:rsid w:val="00DF3B0D"/>
    <w:rsid w:val="00E048F9"/>
    <w:rsid w:val="00E051A8"/>
    <w:rsid w:val="00E05FE2"/>
    <w:rsid w:val="00E06399"/>
    <w:rsid w:val="00E06E4E"/>
    <w:rsid w:val="00E15DD8"/>
    <w:rsid w:val="00E17FF8"/>
    <w:rsid w:val="00E22607"/>
    <w:rsid w:val="00E2323C"/>
    <w:rsid w:val="00E2352C"/>
    <w:rsid w:val="00E3321D"/>
    <w:rsid w:val="00E3417A"/>
    <w:rsid w:val="00E36979"/>
    <w:rsid w:val="00E4052A"/>
    <w:rsid w:val="00E74345"/>
    <w:rsid w:val="00E7537D"/>
    <w:rsid w:val="00E77B80"/>
    <w:rsid w:val="00E81A01"/>
    <w:rsid w:val="00E82FFC"/>
    <w:rsid w:val="00E849B4"/>
    <w:rsid w:val="00E9307A"/>
    <w:rsid w:val="00E94CBD"/>
    <w:rsid w:val="00E94D3F"/>
    <w:rsid w:val="00EA2292"/>
    <w:rsid w:val="00EA34ED"/>
    <w:rsid w:val="00EA35A1"/>
    <w:rsid w:val="00EB03ED"/>
    <w:rsid w:val="00EB643F"/>
    <w:rsid w:val="00ED38FE"/>
    <w:rsid w:val="00EF5FE6"/>
    <w:rsid w:val="00F01324"/>
    <w:rsid w:val="00F0347F"/>
    <w:rsid w:val="00F070CE"/>
    <w:rsid w:val="00F11105"/>
    <w:rsid w:val="00F20CA1"/>
    <w:rsid w:val="00F215FE"/>
    <w:rsid w:val="00F242BF"/>
    <w:rsid w:val="00F2768D"/>
    <w:rsid w:val="00F357BC"/>
    <w:rsid w:val="00F3597A"/>
    <w:rsid w:val="00F37DBF"/>
    <w:rsid w:val="00F5505A"/>
    <w:rsid w:val="00F659DC"/>
    <w:rsid w:val="00F70439"/>
    <w:rsid w:val="00F7062A"/>
    <w:rsid w:val="00F72B44"/>
    <w:rsid w:val="00F73EEE"/>
    <w:rsid w:val="00F806EE"/>
    <w:rsid w:val="00F83115"/>
    <w:rsid w:val="00F83DE2"/>
    <w:rsid w:val="00F87A7E"/>
    <w:rsid w:val="00F90AA2"/>
    <w:rsid w:val="00F97EFB"/>
    <w:rsid w:val="00FA2655"/>
    <w:rsid w:val="00FA26A6"/>
    <w:rsid w:val="00FB18D1"/>
    <w:rsid w:val="00FB20FC"/>
    <w:rsid w:val="00FB2821"/>
    <w:rsid w:val="00FB6D61"/>
    <w:rsid w:val="00FC1D2E"/>
    <w:rsid w:val="00FC36EB"/>
    <w:rsid w:val="00FC45EA"/>
    <w:rsid w:val="00FD4095"/>
    <w:rsid w:val="00FF5A91"/>
    <w:rsid w:val="08236132"/>
    <w:rsid w:val="0A8530D4"/>
    <w:rsid w:val="0B9510F4"/>
    <w:rsid w:val="0C2428B1"/>
    <w:rsid w:val="0CAC4948"/>
    <w:rsid w:val="106E7468"/>
    <w:rsid w:val="10C83D1A"/>
    <w:rsid w:val="18F2E9CC"/>
    <w:rsid w:val="197F08EC"/>
    <w:rsid w:val="1C346708"/>
    <w:rsid w:val="1DF5F62D"/>
    <w:rsid w:val="1E5D9201"/>
    <w:rsid w:val="1EF76B27"/>
    <w:rsid w:val="1FBB7A39"/>
    <w:rsid w:val="1FDE4DA8"/>
    <w:rsid w:val="1FDFAA6F"/>
    <w:rsid w:val="20463520"/>
    <w:rsid w:val="222D60D3"/>
    <w:rsid w:val="271C2272"/>
    <w:rsid w:val="27DFB62A"/>
    <w:rsid w:val="2AC6EFC6"/>
    <w:rsid w:val="2B3E6C5B"/>
    <w:rsid w:val="2BE7F241"/>
    <w:rsid w:val="2C3342E6"/>
    <w:rsid w:val="2D256324"/>
    <w:rsid w:val="2F3178A1"/>
    <w:rsid w:val="2F8A7E2D"/>
    <w:rsid w:val="2FEF7A00"/>
    <w:rsid w:val="2FF7DA58"/>
    <w:rsid w:val="31AA6DF8"/>
    <w:rsid w:val="335C2374"/>
    <w:rsid w:val="377F8D75"/>
    <w:rsid w:val="37B78A77"/>
    <w:rsid w:val="37C500DB"/>
    <w:rsid w:val="37F43DD9"/>
    <w:rsid w:val="385B709E"/>
    <w:rsid w:val="38A81BB8"/>
    <w:rsid w:val="38CC1D4A"/>
    <w:rsid w:val="39D91723"/>
    <w:rsid w:val="3ADB75EC"/>
    <w:rsid w:val="3BEBCE75"/>
    <w:rsid w:val="3E1C2E2C"/>
    <w:rsid w:val="3E7569E0"/>
    <w:rsid w:val="3EDC7A6D"/>
    <w:rsid w:val="3EF54903"/>
    <w:rsid w:val="3F39A94F"/>
    <w:rsid w:val="3F6F0B8A"/>
    <w:rsid w:val="3FBF5B42"/>
    <w:rsid w:val="3FCF2D13"/>
    <w:rsid w:val="406960D0"/>
    <w:rsid w:val="418704F0"/>
    <w:rsid w:val="426F600B"/>
    <w:rsid w:val="467A2DE5"/>
    <w:rsid w:val="46936983"/>
    <w:rsid w:val="470D5A07"/>
    <w:rsid w:val="49EE90FA"/>
    <w:rsid w:val="4A1D2589"/>
    <w:rsid w:val="4B4A3A7F"/>
    <w:rsid w:val="4F6050C6"/>
    <w:rsid w:val="51F31C9E"/>
    <w:rsid w:val="55E6354F"/>
    <w:rsid w:val="573C9B8D"/>
    <w:rsid w:val="57A6B3AF"/>
    <w:rsid w:val="58A14202"/>
    <w:rsid w:val="58C223CA"/>
    <w:rsid w:val="5B3D870B"/>
    <w:rsid w:val="5B77E52F"/>
    <w:rsid w:val="5BEB69C4"/>
    <w:rsid w:val="5BF915C5"/>
    <w:rsid w:val="5BFCD058"/>
    <w:rsid w:val="5D3D9F8C"/>
    <w:rsid w:val="5DF6972C"/>
    <w:rsid w:val="5E7B0AA1"/>
    <w:rsid w:val="5ED259F6"/>
    <w:rsid w:val="5EF5500B"/>
    <w:rsid w:val="5F7FE4BD"/>
    <w:rsid w:val="5FDD7BD9"/>
    <w:rsid w:val="5FEFF1AA"/>
    <w:rsid w:val="5FF4E340"/>
    <w:rsid w:val="5FFB810E"/>
    <w:rsid w:val="5FFD9E2D"/>
    <w:rsid w:val="61131A15"/>
    <w:rsid w:val="62A768B8"/>
    <w:rsid w:val="649E018F"/>
    <w:rsid w:val="667B4E65"/>
    <w:rsid w:val="67FC2A25"/>
    <w:rsid w:val="69B63885"/>
    <w:rsid w:val="6A2133F4"/>
    <w:rsid w:val="6A7E96EF"/>
    <w:rsid w:val="6D77DE1A"/>
    <w:rsid w:val="6DB6695A"/>
    <w:rsid w:val="6EE36ECA"/>
    <w:rsid w:val="6FBB1BF5"/>
    <w:rsid w:val="6FBF5215"/>
    <w:rsid w:val="6FBF6ED6"/>
    <w:rsid w:val="6FFFDC86"/>
    <w:rsid w:val="700D5040"/>
    <w:rsid w:val="708278F0"/>
    <w:rsid w:val="7129364C"/>
    <w:rsid w:val="713E2664"/>
    <w:rsid w:val="71AB1E50"/>
    <w:rsid w:val="71B3EE6E"/>
    <w:rsid w:val="73C824E3"/>
    <w:rsid w:val="74BDFF53"/>
    <w:rsid w:val="7567AA18"/>
    <w:rsid w:val="75DDE7AB"/>
    <w:rsid w:val="762F7AA3"/>
    <w:rsid w:val="776B80AC"/>
    <w:rsid w:val="777D2A51"/>
    <w:rsid w:val="78D20C44"/>
    <w:rsid w:val="79DF69DB"/>
    <w:rsid w:val="79F2116E"/>
    <w:rsid w:val="7A37F1AC"/>
    <w:rsid w:val="7A4822D7"/>
    <w:rsid w:val="7A573534"/>
    <w:rsid w:val="7A79315F"/>
    <w:rsid w:val="7A903C7E"/>
    <w:rsid w:val="7ADF5819"/>
    <w:rsid w:val="7AFF9A14"/>
    <w:rsid w:val="7BCF8B2B"/>
    <w:rsid w:val="7BEF1CA9"/>
    <w:rsid w:val="7DDD2802"/>
    <w:rsid w:val="7DF7F4C0"/>
    <w:rsid w:val="7E9975A5"/>
    <w:rsid w:val="7EDDEFFD"/>
    <w:rsid w:val="7EF7851A"/>
    <w:rsid w:val="7FB5B889"/>
    <w:rsid w:val="7FBB1815"/>
    <w:rsid w:val="7FBFC764"/>
    <w:rsid w:val="7FCF9A3E"/>
    <w:rsid w:val="7FCFB9D6"/>
    <w:rsid w:val="7FEF5C29"/>
    <w:rsid w:val="7FF52205"/>
    <w:rsid w:val="7FF77377"/>
    <w:rsid w:val="7FFDBC6E"/>
    <w:rsid w:val="8EFE0B20"/>
    <w:rsid w:val="977B7678"/>
    <w:rsid w:val="977E773D"/>
    <w:rsid w:val="9F579AAF"/>
    <w:rsid w:val="9FF6D4DC"/>
    <w:rsid w:val="A93EBDF5"/>
    <w:rsid w:val="AEFE9DD1"/>
    <w:rsid w:val="AF3F3314"/>
    <w:rsid w:val="B16F7096"/>
    <w:rsid w:val="B5DC7C8E"/>
    <w:rsid w:val="B5ED20D8"/>
    <w:rsid w:val="B6AADA9F"/>
    <w:rsid w:val="B6F33A51"/>
    <w:rsid w:val="B77F2CD0"/>
    <w:rsid w:val="B7DEA14C"/>
    <w:rsid w:val="B7E2FAA5"/>
    <w:rsid w:val="BBBAFE08"/>
    <w:rsid w:val="BBF962A4"/>
    <w:rsid w:val="BEABE65A"/>
    <w:rsid w:val="BED7F6B5"/>
    <w:rsid w:val="BF7FFE57"/>
    <w:rsid w:val="BFD3583B"/>
    <w:rsid w:val="BFDE7175"/>
    <w:rsid w:val="C8EDCF37"/>
    <w:rsid w:val="CEFF5D2A"/>
    <w:rsid w:val="CFD43EF0"/>
    <w:rsid w:val="CFF731BB"/>
    <w:rsid w:val="D68FBB13"/>
    <w:rsid w:val="D72BF9D5"/>
    <w:rsid w:val="D7EF91B0"/>
    <w:rsid w:val="DAAF2AED"/>
    <w:rsid w:val="DBFF2C7E"/>
    <w:rsid w:val="DDBF5DE1"/>
    <w:rsid w:val="DF6E58E2"/>
    <w:rsid w:val="DFDECF7A"/>
    <w:rsid w:val="DFDF2C85"/>
    <w:rsid w:val="E34F2B7B"/>
    <w:rsid w:val="E5AF7EF0"/>
    <w:rsid w:val="E9FE351A"/>
    <w:rsid w:val="EBFE60B3"/>
    <w:rsid w:val="EDB873E1"/>
    <w:rsid w:val="EDD676E0"/>
    <w:rsid w:val="EEF9AEB5"/>
    <w:rsid w:val="EF9FE483"/>
    <w:rsid w:val="EFD95CBB"/>
    <w:rsid w:val="EFE99678"/>
    <w:rsid w:val="EFFE2923"/>
    <w:rsid w:val="EFFE4174"/>
    <w:rsid w:val="F1BB8521"/>
    <w:rsid w:val="F1FF6CA1"/>
    <w:rsid w:val="F37F9480"/>
    <w:rsid w:val="F3AB72BF"/>
    <w:rsid w:val="F5CE7687"/>
    <w:rsid w:val="F6F5540F"/>
    <w:rsid w:val="F6F597A6"/>
    <w:rsid w:val="F71531AA"/>
    <w:rsid w:val="F73FFC31"/>
    <w:rsid w:val="F75CC0C3"/>
    <w:rsid w:val="F7DC2D58"/>
    <w:rsid w:val="F7FA8966"/>
    <w:rsid w:val="F7FBB891"/>
    <w:rsid w:val="FAFFA5B2"/>
    <w:rsid w:val="FBFF459A"/>
    <w:rsid w:val="FC5FDDD5"/>
    <w:rsid w:val="FC790571"/>
    <w:rsid w:val="FD3FB4FB"/>
    <w:rsid w:val="FD59FF8B"/>
    <w:rsid w:val="FDDF89FE"/>
    <w:rsid w:val="FDED5FA4"/>
    <w:rsid w:val="FE992162"/>
    <w:rsid w:val="FEAF0811"/>
    <w:rsid w:val="FEDD6BE1"/>
    <w:rsid w:val="FEED01C9"/>
    <w:rsid w:val="FEF59D2E"/>
    <w:rsid w:val="FEFFC63F"/>
    <w:rsid w:val="FF7FF7B2"/>
    <w:rsid w:val="FFBD40A6"/>
    <w:rsid w:val="FFBF489C"/>
    <w:rsid w:val="FFCFF60D"/>
    <w:rsid w:val="FFD7935D"/>
    <w:rsid w:val="FFDF2961"/>
    <w:rsid w:val="FFE3380E"/>
    <w:rsid w:val="FFE77ED8"/>
    <w:rsid w:val="FFEBC0B9"/>
    <w:rsid w:val="FFEE514B"/>
    <w:rsid w:val="FFFDD6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0" w:semiHidden="0" w:name="Body Text First Indent"/>
    <w:lsdException w:qFormat="1" w:uiPriority="0" w:semiHidden="0"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200" w:firstLineChars="200"/>
      <w:jc w:val="both"/>
    </w:pPr>
    <w:rPr>
      <w:rFonts w:ascii="Times New Roman" w:hAnsi="Times New Roman" w:eastAsia="仿宋_GB2312" w:cstheme="minorBidi"/>
      <w:kern w:val="2"/>
      <w:sz w:val="32"/>
      <w:szCs w:val="22"/>
      <w:lang w:val="en-US" w:eastAsia="zh-CN" w:bidi="ar-SA"/>
    </w:rPr>
  </w:style>
  <w:style w:type="paragraph" w:styleId="7">
    <w:name w:val="heading 1"/>
    <w:basedOn w:val="1"/>
    <w:next w:val="1"/>
    <w:qFormat/>
    <w:uiPriority w:val="0"/>
    <w:pPr>
      <w:spacing w:before="100" w:beforeAutospacing="1" w:after="100" w:afterAutospacing="1"/>
      <w:jc w:val="left"/>
      <w:outlineLvl w:val="0"/>
    </w:pPr>
    <w:rPr>
      <w:rFonts w:hint="eastAsia" w:ascii="宋体" w:hAnsi="宋体" w:eastAsia="宋体" w:cs="Times New Roman"/>
      <w:b/>
      <w:bCs/>
      <w:kern w:val="44"/>
      <w:sz w:val="48"/>
      <w:szCs w:val="48"/>
    </w:rPr>
  </w:style>
  <w:style w:type="paragraph" w:styleId="8">
    <w:name w:val="heading 2"/>
    <w:next w:val="1"/>
    <w:qFormat/>
    <w:uiPriority w:val="0"/>
    <w:pPr>
      <w:spacing w:before="320" w:after="120" w:line="288" w:lineRule="auto"/>
      <w:outlineLvl w:val="1"/>
    </w:pPr>
    <w:rPr>
      <w:rFonts w:ascii="Arial" w:hAnsi="Arial" w:eastAsia="等线" w:cs="Arial"/>
      <w:b/>
      <w:bCs/>
      <w:sz w:val="32"/>
      <w:szCs w:val="32"/>
      <w:lang w:val="en-US" w:eastAsia="zh-CN" w:bidi="ar-SA"/>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5"/>
    <w:unhideWhenUsed/>
    <w:qFormat/>
    <w:uiPriority w:val="0"/>
    <w:pPr>
      <w:spacing w:beforeLines="0" w:afterLines="0"/>
      <w:ind w:firstLine="420" w:firstLineChars="200"/>
    </w:pPr>
    <w:rPr>
      <w:rFonts w:hint="default"/>
      <w:sz w:val="21"/>
      <w:szCs w:val="22"/>
    </w:rPr>
  </w:style>
  <w:style w:type="paragraph" w:styleId="3">
    <w:name w:val="Body Text Indent"/>
    <w:basedOn w:val="1"/>
    <w:next w:val="4"/>
    <w:unhideWhenUsed/>
    <w:qFormat/>
    <w:uiPriority w:val="0"/>
    <w:pPr>
      <w:spacing w:beforeLines="0" w:after="120" w:afterLines="0"/>
      <w:ind w:left="420" w:leftChars="200"/>
    </w:pPr>
    <w:rPr>
      <w:rFonts w:hint="default"/>
      <w:sz w:val="21"/>
      <w:szCs w:val="22"/>
    </w:rPr>
  </w:style>
  <w:style w:type="paragraph" w:styleId="4">
    <w:name w:val="Normal Indent"/>
    <w:basedOn w:val="1"/>
    <w:next w:val="1"/>
    <w:unhideWhenUsed/>
    <w:qFormat/>
    <w:uiPriority w:val="0"/>
    <w:pPr>
      <w:spacing w:beforeLines="0" w:afterLines="0"/>
      <w:ind w:firstLine="420" w:firstLineChars="200"/>
    </w:pPr>
    <w:rPr>
      <w:rFonts w:hint="default"/>
      <w:sz w:val="21"/>
      <w:szCs w:val="22"/>
    </w:rPr>
  </w:style>
  <w:style w:type="paragraph" w:styleId="5">
    <w:name w:val="Body Text First Indent"/>
    <w:basedOn w:val="6"/>
    <w:unhideWhenUsed/>
    <w:qFormat/>
    <w:uiPriority w:val="0"/>
    <w:pPr>
      <w:spacing w:beforeLines="0" w:afterLines="0"/>
      <w:ind w:firstLine="420" w:firstLineChars="100"/>
    </w:pPr>
    <w:rPr>
      <w:rFonts w:hint="default"/>
      <w:sz w:val="21"/>
      <w:szCs w:val="22"/>
    </w:rPr>
  </w:style>
  <w:style w:type="paragraph" w:styleId="6">
    <w:name w:val="Body Text"/>
    <w:basedOn w:val="1"/>
    <w:unhideWhenUsed/>
    <w:qFormat/>
    <w:uiPriority w:val="0"/>
    <w:pPr>
      <w:spacing w:beforeLines="0" w:after="120" w:afterLines="0"/>
    </w:pPr>
    <w:rPr>
      <w:rFonts w:hint="default"/>
      <w:sz w:val="21"/>
      <w:szCs w:val="22"/>
    </w:rPr>
  </w:style>
  <w:style w:type="paragraph" w:styleId="9">
    <w:name w:val="Plain Text"/>
    <w:basedOn w:val="1"/>
    <w:qFormat/>
    <w:uiPriority w:val="0"/>
    <w:rPr>
      <w:rFonts w:ascii="宋体" w:hAnsi="Courier New"/>
      <w:szCs w:val="20"/>
    </w:rPr>
  </w:style>
  <w:style w:type="paragraph" w:styleId="10">
    <w:name w:val="Date"/>
    <w:basedOn w:val="1"/>
    <w:next w:val="1"/>
    <w:link w:val="23"/>
    <w:semiHidden/>
    <w:unhideWhenUsed/>
    <w:qFormat/>
    <w:uiPriority w:val="99"/>
    <w:pPr>
      <w:ind w:left="100" w:leftChars="2500"/>
    </w:pPr>
  </w:style>
  <w:style w:type="paragraph" w:styleId="11">
    <w:name w:val="Balloon Text"/>
    <w:basedOn w:val="1"/>
    <w:link w:val="25"/>
    <w:semiHidden/>
    <w:unhideWhenUsed/>
    <w:qFormat/>
    <w:uiPriority w:val="99"/>
    <w:rPr>
      <w:sz w:val="18"/>
      <w:szCs w:val="18"/>
    </w:rPr>
  </w:style>
  <w:style w:type="paragraph" w:styleId="12">
    <w:name w:val="footer"/>
    <w:basedOn w:val="1"/>
    <w:link w:val="22"/>
    <w:unhideWhenUsed/>
    <w:qFormat/>
    <w:uiPriority w:val="99"/>
    <w:pPr>
      <w:tabs>
        <w:tab w:val="center" w:pos="4153"/>
        <w:tab w:val="right" w:pos="8306"/>
      </w:tabs>
      <w:snapToGrid w:val="0"/>
      <w:jc w:val="left"/>
    </w:pPr>
    <w:rPr>
      <w:sz w:val="18"/>
      <w:szCs w:val="18"/>
    </w:rPr>
  </w:style>
  <w:style w:type="paragraph" w:styleId="13">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pPr>
      <w:snapToGrid w:val="0"/>
      <w:spacing w:line="640" w:lineRule="exact"/>
      <w:ind w:firstLine="705"/>
    </w:pPr>
    <w:rPr>
      <w:rFonts w:ascii="仿宋_GB2312" w:hAnsi="Calibri" w:cs="黑体"/>
      <w:color w:val="000000"/>
      <w:sz w:val="36"/>
      <w:szCs w:val="36"/>
    </w:rPr>
  </w:style>
  <w:style w:type="paragraph" w:styleId="15">
    <w:name w:val="Normal (Web)"/>
    <w:basedOn w:val="1"/>
    <w:unhideWhenUsed/>
    <w:qFormat/>
    <w:uiPriority w:val="0"/>
    <w:pPr>
      <w:spacing w:beforeAutospacing="1" w:afterAutospacing="1"/>
      <w:jc w:val="left"/>
    </w:pPr>
    <w:rPr>
      <w:rFonts w:cs="Times New Roman"/>
      <w:kern w:val="0"/>
      <w:sz w:val="24"/>
    </w:rPr>
  </w:style>
  <w:style w:type="table" w:styleId="17">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0"/>
    <w:rPr>
      <w:b/>
    </w:rPr>
  </w:style>
  <w:style w:type="paragraph" w:customStyle="1" w:styleId="20">
    <w:name w:val="BodyText"/>
    <w:basedOn w:val="1"/>
    <w:qFormat/>
    <w:uiPriority w:val="0"/>
    <w:pPr>
      <w:spacing w:after="120"/>
      <w:textAlignment w:val="baseline"/>
    </w:pPr>
    <w:rPr>
      <w:rFonts w:cs="Times New Roman"/>
      <w:szCs w:val="24"/>
    </w:rPr>
  </w:style>
  <w:style w:type="character" w:customStyle="1" w:styleId="21">
    <w:name w:val="页眉 Char"/>
    <w:basedOn w:val="18"/>
    <w:link w:val="13"/>
    <w:qFormat/>
    <w:uiPriority w:val="99"/>
    <w:rPr>
      <w:sz w:val="18"/>
      <w:szCs w:val="18"/>
    </w:rPr>
  </w:style>
  <w:style w:type="character" w:customStyle="1" w:styleId="22">
    <w:name w:val="页脚 Char"/>
    <w:basedOn w:val="18"/>
    <w:link w:val="12"/>
    <w:qFormat/>
    <w:uiPriority w:val="99"/>
    <w:rPr>
      <w:sz w:val="18"/>
      <w:szCs w:val="18"/>
    </w:rPr>
  </w:style>
  <w:style w:type="character" w:customStyle="1" w:styleId="23">
    <w:name w:val="日期 Char"/>
    <w:basedOn w:val="18"/>
    <w:link w:val="10"/>
    <w:semiHidden/>
    <w:qFormat/>
    <w:uiPriority w:val="99"/>
    <w:rPr>
      <w:kern w:val="2"/>
      <w:sz w:val="21"/>
      <w:szCs w:val="22"/>
    </w:rPr>
  </w:style>
  <w:style w:type="paragraph" w:customStyle="1" w:styleId="24">
    <w:name w:val="首行缩进"/>
    <w:basedOn w:val="1"/>
    <w:qFormat/>
    <w:uiPriority w:val="0"/>
    <w:pPr>
      <w:spacing w:line="540" w:lineRule="exact"/>
    </w:pPr>
    <w:rPr>
      <w:rFonts w:eastAsia="楷体_GB2312" w:cs="Times New Roman"/>
      <w:sz w:val="30"/>
      <w:szCs w:val="30"/>
    </w:rPr>
  </w:style>
  <w:style w:type="character" w:customStyle="1" w:styleId="25">
    <w:name w:val="批注框文本 Char"/>
    <w:basedOn w:val="18"/>
    <w:link w:val="11"/>
    <w:semiHidden/>
    <w:qFormat/>
    <w:uiPriority w:val="99"/>
    <w:rPr>
      <w:kern w:val="2"/>
      <w:sz w:val="18"/>
      <w:szCs w:val="18"/>
    </w:rPr>
  </w:style>
  <w:style w:type="paragraph" w:customStyle="1" w:styleId="26">
    <w:name w:val="_Style 13"/>
    <w:qFormat/>
    <w:uiPriority w:val="0"/>
    <w:pPr>
      <w:spacing w:before="120" w:after="120" w:line="288" w:lineRule="auto"/>
    </w:pPr>
    <w:rPr>
      <w:rFonts w:ascii="Arial" w:hAnsi="Arial" w:eastAsia="等线" w:cs="Arial"/>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15</Pages>
  <Words>5685</Words>
  <Characters>5766</Characters>
  <Lines>1</Lines>
  <Paragraphs>1</Paragraphs>
  <TotalTime>10</TotalTime>
  <ScaleCrop>false</ScaleCrop>
  <LinksUpToDate>false</LinksUpToDate>
  <CharactersWithSpaces>5958</CharactersWithSpaces>
  <Application>WPS Office_11.8.2.12333_F1E327BC-269C-435d-A152-05C5408002CA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2026-07-22T05:14:00Z</dcterms:created>
  <dc:creator>hp</dc:creator>
  <cp:lastModifiedBy>suma</cp:lastModifiedBy>
  <cp:lastPrinted>2026-07-22T00:33:00Z</cp:lastPrinted>
  <dcterms:modified xsi:type="dcterms:W3CDTF">2026-07-21T16:44:15Z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2052-11.8.2.12333</vt:lpwstr>
  </property>
  <property fmtid="{D5CDD505-2E9C-101B-9397-08002B2CF9AE}" pid="3" name="KSOTemplateDocerSaveRecord">
    <vt:lpwstr>eyJoZGlkIjoiMDc4NmUxMThlM2E2NWMzN2Q0OTQyYjlkNTc2NzE2ZmIiLCJ1c2VySWQiOiI1NzI1MDM2NTIifQ==</vt:lpwstr>
  </property>
  <property fmtid="{D5CDD505-2E9C-101B-9397-08002B2CF9AE}" pid="4" name="ICV">
    <vt:lpwstr>4EC2CA4A8F2F0E0A5F315F6A28802D64</vt:lpwstr>
  </property>
</Properties>
</file>