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Cs/>
          <w:sz w:val="44"/>
          <w:szCs w:val="44"/>
        </w:rPr>
      </w:pPr>
      <w:bookmarkStart w:id="0" w:name="_GoBack"/>
      <w:r>
        <w:drawing>
          <wp:anchor distT="0" distB="0" distL="114300" distR="114300" simplePos="0" relativeHeight="251660288" behindDoc="1" locked="0" layoutInCell="1" allowOverlap="1">
            <wp:simplePos x="0" y="0"/>
            <wp:positionH relativeFrom="column">
              <wp:posOffset>-960755</wp:posOffset>
            </wp:positionH>
            <wp:positionV relativeFrom="paragraph">
              <wp:posOffset>-1297305</wp:posOffset>
            </wp:positionV>
            <wp:extent cx="7493000" cy="10599420"/>
            <wp:effectExtent l="0" t="0" r="12700" b="11430"/>
            <wp:wrapNone/>
            <wp:docPr id="1" name="图片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e001"/>
                    <pic:cNvPicPr>
                      <a:picLocks noChangeAspect="1"/>
                    </pic:cNvPicPr>
                  </pic:nvPicPr>
                  <pic:blipFill>
                    <a:blip r:embed="rId6"/>
                    <a:stretch>
                      <a:fillRect/>
                    </a:stretch>
                  </pic:blipFill>
                  <pic:spPr>
                    <a:xfrm>
                      <a:off x="0" y="0"/>
                      <a:ext cx="7493000" cy="10599420"/>
                    </a:xfrm>
                    <a:prstGeom prst="rect">
                      <a:avLst/>
                    </a:prstGeom>
                    <a:noFill/>
                    <a:ln>
                      <a:noFill/>
                    </a:ln>
                  </pic:spPr>
                </pic:pic>
              </a:graphicData>
            </a:graphic>
          </wp:anchor>
        </w:drawing>
      </w:r>
      <w:bookmarkEnd w:id="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方正小标宋_GBK" w:hAnsi="方正小标宋_GBK" w:eastAsia="方正小标宋_GBK" w:cs="方正小标宋_GBK"/>
          <w:bCs/>
          <w:sz w:val="44"/>
          <w:szCs w:val="44"/>
          <w:lang w:eastAsia="zh-CN"/>
        </w:rPr>
      </w:pPr>
      <w:r>
        <w:rPr>
          <w:rFonts w:hint="eastAsia" w:ascii="方正小标宋_GBK" w:hAnsi="方正小标宋_GBK" w:eastAsia="方正小标宋_GBK" w:cs="方正小标宋_GBK"/>
          <w:bCs/>
          <w:sz w:val="44"/>
          <w:szCs w:val="44"/>
        </w:rPr>
        <w:t>关于</w:t>
      </w:r>
      <w:r>
        <w:rPr>
          <w:rFonts w:hint="eastAsia" w:ascii="方正小标宋_GBK" w:hAnsi="方正小标宋_GBK" w:eastAsia="方正小标宋_GBK" w:cs="方正小标宋_GBK"/>
          <w:bCs/>
          <w:sz w:val="44"/>
          <w:szCs w:val="44"/>
          <w:lang w:val="en-US" w:eastAsia="zh-CN"/>
        </w:rPr>
        <w:t>开展</w:t>
      </w:r>
      <w:r>
        <w:rPr>
          <w:rFonts w:hint="eastAsia" w:ascii="方正小标宋_GBK" w:hAnsi="方正小标宋_GBK" w:eastAsia="方正小标宋_GBK" w:cs="方正小标宋_GBK"/>
          <w:bCs/>
          <w:sz w:val="44"/>
          <w:szCs w:val="44"/>
          <w:lang w:eastAsia="zh-CN"/>
        </w:rPr>
        <w:t>青岛市质量标准实验室筑基试点</w:t>
      </w: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lang w:eastAsia="zh-CN"/>
        </w:rPr>
        <w:t>申报工作</w:t>
      </w:r>
      <w:r>
        <w:rPr>
          <w:rFonts w:hint="eastAsia" w:ascii="方正小标宋_GBK" w:hAnsi="方正小标宋_GBK" w:eastAsia="方正小标宋_GBK" w:cs="方正小标宋_GBK"/>
          <w:bCs/>
          <w:sz w:val="44"/>
          <w:szCs w:val="44"/>
        </w:rPr>
        <w:t>的通知</w:t>
      </w:r>
    </w:p>
    <w:p>
      <w:pPr>
        <w:keepNext w:val="0"/>
        <w:keepLines w:val="0"/>
        <w:pageBreakBefore w:val="0"/>
        <w:widowControl w:val="0"/>
        <w:kinsoku/>
        <w:wordWrap/>
        <w:overflowPunct/>
        <w:topLinePunct w:val="0"/>
        <w:autoSpaceDE/>
        <w:autoSpaceDN/>
        <w:bidi w:val="0"/>
        <w:spacing w:line="580" w:lineRule="exact"/>
        <w:textAlignment w:val="auto"/>
        <w:rPr>
          <w:rFonts w:hint="eastAsia" w:ascii="仿宋_GB2312" w:hAnsi="仿宋_GB2312" w:eastAsia="仿宋_GB2312"/>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sz w:val="32"/>
          <w:szCs w:val="32"/>
        </w:rPr>
      </w:pPr>
      <w:r>
        <w:rPr>
          <w:rFonts w:hint="eastAsia" w:ascii="仿宋_GB2312" w:hAnsi="仿宋_GB2312" w:eastAsia="仿宋_GB2312"/>
          <w:sz w:val="32"/>
          <w:szCs w:val="32"/>
          <w:lang w:eastAsia="zh-CN"/>
        </w:rPr>
        <w:t>各区市市场监管局</w:t>
      </w:r>
      <w:r>
        <w:rPr>
          <w:rFonts w:hint="eastAsia" w:ascii="仿宋_GB2312" w:hAnsi="仿宋_GB2312"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4" w:firstLineChars="200"/>
        <w:jc w:val="both"/>
        <w:textAlignment w:val="baseline"/>
        <w:rPr>
          <w:rFonts w:hint="eastAsia" w:ascii="仿宋_GB2312" w:hAnsi="仿宋_GB2312" w:eastAsia="仿宋_GB2312" w:cs="宋体"/>
          <w:sz w:val="32"/>
          <w:szCs w:val="32"/>
          <w:lang w:val="en-US" w:eastAsia="zh-CN"/>
        </w:rPr>
      </w:pPr>
      <w:r>
        <w:rPr>
          <w:rFonts w:hint="eastAsia" w:ascii="仿宋_GB2312" w:hAnsi="仿宋_GB2312" w:eastAsia="仿宋_GB2312" w:cs="仿宋_GB2312"/>
          <w:spacing w:val="1"/>
          <w:sz w:val="32"/>
          <w:szCs w:val="32"/>
          <w:lang w:eastAsia="zh-CN"/>
        </w:rPr>
        <w:t>按照</w:t>
      </w:r>
      <w:r>
        <w:rPr>
          <w:rFonts w:hint="eastAsia" w:ascii="仿宋_GB2312" w:hAnsi="仿宋_GB2312" w:eastAsia="仿宋_GB2312" w:cs="仿宋_GB2312"/>
          <w:spacing w:val="1"/>
          <w:sz w:val="32"/>
          <w:szCs w:val="32"/>
          <w:lang w:val="en-US" w:eastAsia="zh-CN"/>
        </w:rPr>
        <w:t>《</w:t>
      </w:r>
      <w:r>
        <w:rPr>
          <w:rFonts w:hint="eastAsia" w:ascii="仿宋_GB2312" w:hAnsi="仿宋_GB2312" w:eastAsia="仿宋_GB2312" w:cs="仿宋_GB2312"/>
          <w:spacing w:val="1"/>
          <w:sz w:val="32"/>
          <w:szCs w:val="32"/>
          <w:lang w:eastAsia="zh-CN"/>
        </w:rPr>
        <w:t>青岛市质量标准实验室筑基试点工作</w:t>
      </w:r>
      <w:r>
        <w:rPr>
          <w:rFonts w:hint="eastAsia" w:ascii="仿宋_GB2312" w:hAnsi="仿宋_GB2312" w:eastAsia="仿宋_GB2312" w:cs="仿宋_GB2312"/>
          <w:spacing w:val="1"/>
          <w:sz w:val="32"/>
          <w:szCs w:val="32"/>
          <w:lang w:val="en-US" w:eastAsia="zh-CN"/>
        </w:rPr>
        <w:t>方案》</w:t>
      </w:r>
      <w:r>
        <w:rPr>
          <w:rFonts w:hint="eastAsia" w:ascii="仿宋_GB2312" w:hAnsi="仿宋_GB2312" w:eastAsia="仿宋_GB2312" w:cs="仿宋_GB2312"/>
          <w:spacing w:val="1"/>
          <w:sz w:val="32"/>
          <w:szCs w:val="32"/>
          <w:lang w:eastAsia="zh-CN"/>
        </w:rPr>
        <w:t>要求，现开展青岛市质量标准实验室申报工作。请积极发动组织辖区内符合条件的机构做好申报工作，申报指南和申报表格见附件1和附件2。市市场监管局将适时组织有关专家进行审核，符合建设条件的给予批准筹建。</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4" w:firstLineChars="200"/>
        <w:jc w:val="both"/>
        <w:textAlignment w:val="baseline"/>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申报材料请各区市局统一审核汇总，填写青岛市质量标准实验室筑基试点申报汇总情况表</w:t>
      </w:r>
      <w:r>
        <w:rPr>
          <w:rFonts w:hint="eastAsia" w:ascii="仿宋_GB2312" w:hAnsi="仿宋_GB2312" w:eastAsia="仿宋_GB2312" w:cs="仿宋_GB2312"/>
          <w:sz w:val="32"/>
          <w:szCs w:val="32"/>
          <w:lang w:val="en-US" w:eastAsia="zh-CN"/>
        </w:rPr>
        <w:t>（附件</w:t>
      </w: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pacing w:val="1"/>
          <w:sz w:val="32"/>
          <w:szCs w:val="32"/>
          <w:lang w:val="en-US" w:eastAsia="zh-CN"/>
        </w:rPr>
        <w:t>于</w:t>
      </w:r>
      <w:r>
        <w:rPr>
          <w:rFonts w:hint="eastAsia" w:ascii="Times New Roman" w:hAnsi="Times New Roman" w:eastAsia="仿宋_GB2312" w:cs="仿宋_GB2312"/>
          <w:sz w:val="32"/>
          <w:szCs w:val="32"/>
          <w:lang w:val="en-US" w:eastAsia="zh-CN"/>
        </w:rPr>
        <w:t>8</w:t>
      </w:r>
      <w:r>
        <w:rPr>
          <w:rFonts w:hint="eastAsia" w:ascii="仿宋_GB2312" w:hAnsi="仿宋_GB2312" w:eastAsia="仿宋_GB2312" w:cs="仿宋_GB2312"/>
          <w:spacing w:val="1"/>
          <w:sz w:val="32"/>
          <w:szCs w:val="32"/>
          <w:lang w:val="en-US" w:eastAsia="zh-CN"/>
        </w:rPr>
        <w:t>月</w:t>
      </w:r>
      <w:r>
        <w:rPr>
          <w:rFonts w:hint="eastAsia" w:ascii="Times New Roman" w:hAnsi="Times New Roman" w:eastAsia="仿宋_GB2312" w:cs="仿宋_GB2312"/>
          <w:sz w:val="32"/>
          <w:szCs w:val="32"/>
          <w:lang w:val="en-US" w:eastAsia="zh-CN"/>
        </w:rPr>
        <w:t>11</w:t>
      </w:r>
      <w:r>
        <w:rPr>
          <w:rFonts w:hint="eastAsia" w:ascii="仿宋_GB2312" w:hAnsi="仿宋_GB2312" w:eastAsia="仿宋_GB2312" w:cs="仿宋_GB2312"/>
          <w:spacing w:val="1"/>
          <w:sz w:val="32"/>
          <w:szCs w:val="32"/>
          <w:lang w:val="en-US" w:eastAsia="zh-CN"/>
        </w:rPr>
        <w:t>日前将</w:t>
      </w:r>
      <w:r>
        <w:rPr>
          <w:rFonts w:hint="eastAsia" w:ascii="仿宋_GB2312" w:hAnsi="仿宋_GB2312" w:eastAsia="仿宋_GB2312" w:cs="仿宋_GB2312"/>
          <w:b/>
          <w:bCs/>
          <w:spacing w:val="1"/>
          <w:sz w:val="32"/>
          <w:szCs w:val="32"/>
          <w:lang w:val="en-US" w:eastAsia="zh-CN"/>
        </w:rPr>
        <w:t>申报材料</w:t>
      </w:r>
      <w:r>
        <w:rPr>
          <w:rFonts w:hint="eastAsia" w:ascii="仿宋_GB2312" w:hAnsi="仿宋_GB2312" w:eastAsia="仿宋_GB2312" w:cs="仿宋_GB2312"/>
          <w:spacing w:val="1"/>
          <w:sz w:val="32"/>
          <w:szCs w:val="32"/>
          <w:lang w:val="en-US" w:eastAsia="zh-CN"/>
        </w:rPr>
        <w:t>与</w:t>
      </w:r>
      <w:r>
        <w:rPr>
          <w:rFonts w:hint="eastAsia" w:ascii="仿宋_GB2312" w:hAnsi="仿宋_GB2312" w:eastAsia="仿宋_GB2312" w:cs="仿宋_GB2312"/>
          <w:b/>
          <w:bCs/>
          <w:spacing w:val="1"/>
          <w:sz w:val="32"/>
          <w:szCs w:val="32"/>
          <w:lang w:val="en-US" w:eastAsia="zh-CN"/>
        </w:rPr>
        <w:t>汇总表</w:t>
      </w:r>
      <w:r>
        <w:rPr>
          <w:rFonts w:hint="eastAsia" w:ascii="仿宋_GB2312" w:hAnsi="仿宋_GB2312" w:eastAsia="仿宋_GB2312" w:cs="仿宋_GB2312"/>
          <w:spacing w:val="1"/>
          <w:sz w:val="32"/>
          <w:szCs w:val="32"/>
          <w:lang w:val="en-US" w:eastAsia="zh-CN"/>
        </w:rPr>
        <w:t>报送青岛市市场监管局质量发展处。其中，申报材料纸质版(一式三份盖章)寄送至青岛市市场监管局质量发展处（地址：青岛市市南区福州南路</w:t>
      </w:r>
      <w:r>
        <w:rPr>
          <w:rFonts w:hint="eastAsia" w:ascii="Times New Roman" w:hAnsi="Times New Roman" w:eastAsia="仿宋_GB2312" w:cs="仿宋_GB2312"/>
          <w:sz w:val="32"/>
          <w:szCs w:val="32"/>
          <w:lang w:val="en-US" w:eastAsia="zh-CN"/>
        </w:rPr>
        <w:t>83</w:t>
      </w:r>
      <w:r>
        <w:rPr>
          <w:rFonts w:hint="eastAsia" w:ascii="仿宋_GB2312" w:hAnsi="仿宋_GB2312" w:eastAsia="仿宋_GB2312" w:cs="仿宋_GB2312"/>
          <w:spacing w:val="1"/>
          <w:sz w:val="32"/>
          <w:szCs w:val="32"/>
          <w:lang w:val="en-US" w:eastAsia="zh-CN"/>
        </w:rPr>
        <w:t>号</w:t>
      </w:r>
      <w:r>
        <w:rPr>
          <w:rFonts w:hint="eastAsia" w:ascii="Times New Roman" w:hAnsi="Times New Roman" w:eastAsia="仿宋_GB2312" w:cs="仿宋_GB2312"/>
          <w:sz w:val="32"/>
          <w:szCs w:val="32"/>
          <w:lang w:val="en-US" w:eastAsia="zh-CN"/>
        </w:rPr>
        <w:t>1222</w:t>
      </w:r>
      <w:r>
        <w:rPr>
          <w:rFonts w:hint="eastAsia" w:ascii="仿宋_GB2312" w:hAnsi="仿宋_GB2312" w:eastAsia="仿宋_GB2312" w:cs="仿宋_GB2312"/>
          <w:spacing w:val="1"/>
          <w:sz w:val="32"/>
          <w:szCs w:val="32"/>
          <w:lang w:val="en-US" w:eastAsia="zh-CN"/>
        </w:rPr>
        <w:t>室），电子版(word、pdf格式)发送至青岛市市场监管局质量发展处金宏邮箱或者电子邮箱</w:t>
      </w:r>
      <w:r>
        <w:rPr>
          <w:rFonts w:hint="eastAsia" w:ascii="仿宋_GB2312" w:eastAsia="仿宋_GB2312"/>
          <w:sz w:val="32"/>
          <w:szCs w:val="32"/>
          <w:lang w:val="en-US" w:eastAsia="zh-CN"/>
        </w:rPr>
        <w:t>zlfzc@qd.shandong.cn</w:t>
      </w:r>
      <w:r>
        <w:rPr>
          <w:rFonts w:hint="eastAsia" w:ascii="仿宋_GB2312" w:hAnsi="仿宋_GB2312" w:eastAsia="仿宋_GB2312" w:cs="仿宋_GB2312"/>
          <w:spacing w:val="1"/>
          <w:sz w:val="32"/>
          <w:szCs w:val="32"/>
          <w:lang w:val="en-US" w:eastAsia="zh-CN"/>
        </w:rPr>
        <w:t>。</w:t>
      </w:r>
    </w:p>
    <w:p>
      <w:pPr>
        <w:pStyle w:val="2"/>
        <w:keepNext w:val="0"/>
        <w:keepLines w:val="0"/>
        <w:pageBreakBefore w:val="0"/>
        <w:kinsoku/>
        <w:wordWrap/>
        <w:overflowPunct/>
        <w:topLinePunct w:val="0"/>
        <w:autoSpaceDE/>
        <w:autoSpaceDN/>
        <w:bidi w:val="0"/>
        <w:spacing w:before="0" w:beforeAutospacing="0" w:after="0" w:afterAutospacing="0" w:line="560" w:lineRule="exact"/>
        <w:textAlignment w:val="baseline"/>
        <w:rPr>
          <w:rFonts w:hint="eastAsia"/>
          <w:lang w:val="en-US" w:eastAsia="zh-CN"/>
        </w:rPr>
      </w:pPr>
    </w:p>
    <w:p>
      <w:pPr>
        <w:keepNext w:val="0"/>
        <w:keepLines w:val="0"/>
        <w:pageBreakBefore w:val="0"/>
        <w:widowControl w:val="0"/>
        <w:tabs>
          <w:tab w:val="left" w:pos="1600"/>
        </w:tabs>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Times New Roman" w:hAnsi="Times New Roman" w:eastAsia="仿宋_GB2312" w:cs="仿宋_GB2312"/>
          <w:sz w:val="32"/>
          <w:szCs w:val="32"/>
          <w:lang w:val="en-US" w:eastAsia="zh-CN"/>
        </w:rPr>
        <w:t>1.</w:t>
      </w:r>
      <w:r>
        <w:rPr>
          <w:rFonts w:hint="eastAsia" w:ascii="仿宋_GB2312" w:hAnsi="仿宋_GB2312" w:eastAsia="仿宋_GB2312" w:cs="仿宋_GB2312"/>
          <w:sz w:val="32"/>
          <w:szCs w:val="32"/>
          <w:lang w:val="en-US" w:eastAsia="zh-CN"/>
        </w:rPr>
        <w:t>青岛市质量标准实验室筑基试点培育指南</w:t>
      </w:r>
    </w:p>
    <w:p>
      <w:pPr>
        <w:keepNext w:val="0"/>
        <w:keepLines w:val="0"/>
        <w:pageBreakBefore w:val="0"/>
        <w:widowControl w:val="0"/>
        <w:numPr>
          <w:ilvl w:val="0"/>
          <w:numId w:val="0"/>
        </w:numPr>
        <w:tabs>
          <w:tab w:val="left" w:pos="1600"/>
        </w:tabs>
        <w:kinsoku/>
        <w:wordWrap/>
        <w:overflowPunct/>
        <w:topLinePunct w:val="0"/>
        <w:autoSpaceDE/>
        <w:autoSpaceDN/>
        <w:bidi w:val="0"/>
        <w:adjustRightInd w:val="0"/>
        <w:snapToGrid w:val="0"/>
        <w:spacing w:line="560" w:lineRule="exact"/>
        <w:ind w:leftChars="500"/>
        <w:jc w:val="both"/>
        <w:textAlignment w:val="baseline"/>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2.</w:t>
      </w:r>
      <w:r>
        <w:rPr>
          <w:rFonts w:hint="eastAsia" w:ascii="仿宋_GB2312" w:hAnsi="仿宋_GB2312" w:eastAsia="仿宋_GB2312" w:cs="仿宋_GB2312"/>
          <w:sz w:val="32"/>
          <w:szCs w:val="32"/>
          <w:lang w:val="en-US" w:eastAsia="zh-CN"/>
        </w:rPr>
        <w:t>青岛市质量标准实验室申报材料（模板）</w:t>
      </w:r>
    </w:p>
    <w:p>
      <w:pPr>
        <w:keepNext w:val="0"/>
        <w:keepLines w:val="0"/>
        <w:pageBreakBefore w:val="0"/>
        <w:widowControl w:val="0"/>
        <w:numPr>
          <w:ilvl w:val="0"/>
          <w:numId w:val="0"/>
        </w:numPr>
        <w:tabs>
          <w:tab w:val="left" w:pos="1600"/>
        </w:tabs>
        <w:kinsoku/>
        <w:wordWrap/>
        <w:overflowPunct/>
        <w:topLinePunct w:val="0"/>
        <w:autoSpaceDE/>
        <w:autoSpaceDN/>
        <w:bidi w:val="0"/>
        <w:adjustRightInd w:val="0"/>
        <w:snapToGrid w:val="0"/>
        <w:spacing w:line="560" w:lineRule="exact"/>
        <w:ind w:leftChars="500"/>
        <w:jc w:val="both"/>
        <w:textAlignment w:val="baseline"/>
        <w:rPr>
          <w:rFonts w:hint="eastAsia" w:ascii="仿宋_GB2312" w:hAnsi="仿宋_GB2312" w:eastAsia="仿宋_GB2312" w:cs="仿宋_GB2312"/>
          <w:b w:val="0"/>
          <w:bCs w:val="0"/>
          <w:kern w:val="2"/>
          <w:sz w:val="32"/>
          <w:szCs w:val="32"/>
          <w:lang w:val="en-US" w:eastAsia="zh-CN" w:bidi="ar-SA"/>
        </w:rPr>
      </w:pP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b w:val="0"/>
          <w:bCs w:val="0"/>
          <w:kern w:val="2"/>
          <w:sz w:val="32"/>
          <w:szCs w:val="32"/>
          <w:lang w:val="en-US" w:eastAsia="zh-CN" w:bidi="ar-SA"/>
        </w:rPr>
        <w:t>青岛市质量标准实验室筑基试点申报汇总情况表</w:t>
      </w:r>
    </w:p>
    <w:p>
      <w:pPr>
        <w:keepNext w:val="0"/>
        <w:keepLines w:val="0"/>
        <w:pageBreakBefore w:val="0"/>
        <w:widowControl w:val="0"/>
        <w:tabs>
          <w:tab w:val="left" w:pos="1600"/>
        </w:tabs>
        <w:kinsoku/>
        <w:wordWrap/>
        <w:overflowPunct/>
        <w:topLinePunct w:val="0"/>
        <w:autoSpaceDE/>
        <w:autoSpaceDN/>
        <w:bidi w:val="0"/>
        <w:adjustRightInd w:val="0"/>
        <w:snapToGrid w:val="0"/>
        <w:spacing w:line="560" w:lineRule="exact"/>
        <w:ind w:firstLine="1100" w:firstLineChars="500"/>
        <w:jc w:val="both"/>
        <w:textAlignment w:val="baseline"/>
        <w:rPr>
          <w:rFonts w:hint="eastAsia"/>
          <w:sz w:val="22"/>
          <w:szCs w:val="22"/>
          <w:lang w:val="en-US" w:eastAsia="zh-CN"/>
        </w:rPr>
      </w:pPr>
    </w:p>
    <w:p>
      <w:pPr>
        <w:keepNext w:val="0"/>
        <w:keepLines w:val="0"/>
        <w:pageBreakBefore w:val="0"/>
        <w:widowControl w:val="0"/>
        <w:kinsoku/>
        <w:wordWrap/>
        <w:overflowPunct/>
        <w:topLinePunct w:val="0"/>
        <w:autoSpaceDE/>
        <w:autoSpaceDN/>
        <w:bidi w:val="0"/>
        <w:adjustRightInd/>
        <w:spacing w:line="560" w:lineRule="exact"/>
        <w:ind w:firstLine="5120" w:firstLineChars="16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pacing w:line="560" w:lineRule="exact"/>
        <w:ind w:firstLine="4160" w:firstLineChars="1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青岛市市场监督管理局</w:t>
      </w:r>
    </w:p>
    <w:p>
      <w:pPr>
        <w:pStyle w:val="8"/>
        <w:keepNext w:val="0"/>
        <w:keepLines w:val="0"/>
        <w:pageBreakBefore w:val="0"/>
        <w:widowControl w:val="0"/>
        <w:kinsoku/>
        <w:wordWrap/>
        <w:overflowPunct/>
        <w:topLinePunct w:val="0"/>
        <w:autoSpaceDE/>
        <w:autoSpaceDN/>
        <w:bidi w:val="0"/>
        <w:adjustRightInd/>
        <w:spacing w:line="56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kern w:val="2"/>
          <w:sz w:val="32"/>
          <w:szCs w:val="32"/>
          <w:lang w:val="en-US" w:eastAsia="zh-CN" w:bidi="ar-SA"/>
        </w:rPr>
        <w:t>2026</w:t>
      </w:r>
      <w:r>
        <w:rPr>
          <w:rFonts w:hint="eastAsia" w:ascii="仿宋_GB2312" w:hAnsi="仿宋_GB2312" w:eastAsia="仿宋_GB2312" w:cs="仿宋_GB2312"/>
          <w:sz w:val="32"/>
          <w:szCs w:val="32"/>
          <w:lang w:val="en-US" w:eastAsia="zh-CN"/>
        </w:rPr>
        <w:t>年</w:t>
      </w:r>
      <w:r>
        <w:rPr>
          <w:rFonts w:hint="eastAsia" w:ascii="Times New Roman" w:hAnsi="Times New Roman" w:eastAsia="仿宋_GB2312" w:cs="仿宋_GB2312"/>
          <w:kern w:val="2"/>
          <w:sz w:val="32"/>
          <w:szCs w:val="32"/>
          <w:lang w:val="en-US" w:eastAsia="zh-CN" w:bidi="ar-SA"/>
        </w:rPr>
        <w:t>7</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仿宋_GB2312"/>
          <w:kern w:val="2"/>
          <w:sz w:val="32"/>
          <w:szCs w:val="32"/>
          <w:lang w:val="en-US" w:eastAsia="zh-CN" w:bidi="ar-SA"/>
        </w:rPr>
        <w:t>21</w:t>
      </w:r>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spacing w:line="560" w:lineRule="exact"/>
        <w:rPr>
          <w:rFonts w:hint="eastAsia"/>
          <w:sz w:val="21"/>
          <w:szCs w:val="21"/>
          <w:lang w:val="en-US" w:eastAsia="zh-CN"/>
        </w:rPr>
      </w:pPr>
    </w:p>
    <w:p>
      <w:pPr>
        <w:keepNext w:val="0"/>
        <w:keepLines w:val="0"/>
        <w:pageBreakBefore w:val="0"/>
        <w:widowControl w:val="0"/>
        <w:kinsoku/>
        <w:wordWrap/>
        <w:overflowPunct/>
        <w:topLinePunct w:val="0"/>
        <w:autoSpaceDE/>
        <w:autoSpaceDN/>
        <w:bidi w:val="0"/>
        <w:spacing w:line="560"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（联系方式：质量发展处，</w:t>
      </w:r>
      <w:r>
        <w:rPr>
          <w:rFonts w:hint="eastAsia" w:ascii="Times New Roman" w:hAnsi="Times New Roman" w:eastAsia="仿宋_GB2312" w:cs="仿宋_GB2312"/>
          <w:sz w:val="32"/>
          <w:szCs w:val="32"/>
          <w:lang w:val="en-US" w:eastAsia="zh-CN"/>
        </w:rPr>
        <w:t>66759205</w:t>
      </w:r>
      <w:r>
        <w:rPr>
          <w:rFonts w:hint="eastAsia" w:ascii="仿宋_GB2312" w:hAnsi="仿宋_GB2312" w:eastAsia="仿宋_GB2312" w:cs="仿宋_GB2312"/>
          <w:sz w:val="32"/>
          <w:szCs w:val="32"/>
          <w:lang w:val="en-US" w:eastAsia="zh-CN"/>
        </w:rPr>
        <w:t>；认证认可处，</w:t>
      </w:r>
      <w:r>
        <w:rPr>
          <w:rFonts w:hint="eastAsia" w:ascii="Times New Roman" w:hAnsi="Times New Roman" w:eastAsia="仿宋_GB2312" w:cs="仿宋_GB2312"/>
          <w:sz w:val="32"/>
          <w:szCs w:val="32"/>
          <w:lang w:val="en-US" w:eastAsia="zh-CN"/>
        </w:rPr>
        <w:t>85730983</w:t>
      </w:r>
      <w:r>
        <w:rPr>
          <w:rFonts w:hint="eastAsia" w:ascii="仿宋_GB2312" w:hAnsi="仿宋_GB2312" w:eastAsia="仿宋_GB2312" w:cs="仿宋_GB2312"/>
          <w:sz w:val="32"/>
          <w:szCs w:val="32"/>
          <w:lang w:val="en-US" w:eastAsia="zh-CN"/>
        </w:rPr>
        <w:t>）</w:t>
      </w:r>
    </w:p>
    <w:p>
      <w:pPr>
        <w:rPr>
          <w:rFonts w:hint="default"/>
          <w:sz w:val="21"/>
          <w:szCs w:val="21"/>
          <w:lang w:val="en-US" w:eastAsia="zh-CN"/>
        </w:rPr>
      </w:pPr>
      <w:r>
        <w:rPr>
          <w:rFonts w:hint="default"/>
          <w:sz w:val="21"/>
          <w:szCs w:val="21"/>
          <w:lang w:val="en-US" w:eastAsia="zh-CN"/>
        </w:rPr>
        <w:br w:type="page"/>
      </w:r>
    </w:p>
    <w:p>
      <w:pPr>
        <w:pStyle w:val="2"/>
        <w:ind w:left="0" w:leftChars="0" w:firstLine="0" w:firstLineChars="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pPr>
        <w:keepNext w:val="0"/>
        <w:keepLines w:val="0"/>
        <w:pageBreakBefore w:val="0"/>
        <w:widowControl w:val="0"/>
        <w:kinsoku/>
        <w:wordWrap/>
        <w:overflowPunct/>
        <w:topLinePunct w:val="0"/>
        <w:autoSpaceDE/>
        <w:autoSpaceDN/>
        <w:bidi w:val="0"/>
        <w:spacing w:line="580" w:lineRule="exact"/>
        <w:jc w:val="center"/>
        <w:textAlignment w:val="auto"/>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质量标准实验室</w:t>
      </w:r>
      <w:r>
        <w:rPr>
          <w:rFonts w:hint="eastAsia" w:ascii="方正小标宋_GBK" w:hAnsi="方正小标宋_GBK" w:eastAsia="方正小标宋_GBK" w:cs="方正小标宋_GBK"/>
          <w:bCs/>
          <w:sz w:val="44"/>
          <w:szCs w:val="44"/>
          <w:lang w:val="en-US" w:eastAsia="zh-CN"/>
        </w:rPr>
        <w:t>筑基试点培育</w:t>
      </w:r>
      <w:r>
        <w:rPr>
          <w:rFonts w:hint="eastAsia" w:ascii="方正小标宋_GBK" w:hAnsi="方正小标宋_GBK" w:eastAsia="方正小标宋_GBK" w:cs="方正小标宋_GBK"/>
          <w:bCs/>
          <w:sz w:val="44"/>
          <w:szCs w:val="44"/>
        </w:rPr>
        <w:t>指南</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Times New Roman" w:hAnsi="Times New Roman" w:eastAsia="黑体" w:cs="黑体"/>
          <w:color w:val="000000"/>
          <w:sz w:val="32"/>
          <w:szCs w:val="32"/>
        </w:rPr>
      </w:pP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黑体" w:cs="黑体"/>
          <w:sz w:val="32"/>
          <w:szCs w:val="32"/>
        </w:rPr>
      </w:pPr>
      <w:r>
        <w:rPr>
          <w:rFonts w:hint="eastAsia" w:ascii="Times New Roman" w:hAnsi="Times New Roman" w:eastAsia="黑体" w:cs="黑体"/>
          <w:color w:val="000000"/>
          <w:sz w:val="32"/>
          <w:szCs w:val="32"/>
        </w:rPr>
        <w:t>一、</w:t>
      </w:r>
      <w:r>
        <w:rPr>
          <w:rFonts w:hint="eastAsia" w:ascii="Times New Roman" w:hAnsi="Times New Roman" w:eastAsia="黑体" w:cs="黑体"/>
          <w:sz w:val="32"/>
          <w:szCs w:val="32"/>
          <w:lang w:val="en-US" w:eastAsia="zh-CN"/>
        </w:rPr>
        <w:t>培育</w:t>
      </w:r>
      <w:r>
        <w:rPr>
          <w:rFonts w:hint="eastAsia" w:ascii="Times New Roman" w:hAnsi="Times New Roman" w:eastAsia="黑体" w:cs="黑体"/>
          <w:sz w:val="32"/>
          <w:szCs w:val="32"/>
        </w:rPr>
        <w:t>方向</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质量标准实验室</w:t>
      </w:r>
      <w:r>
        <w:rPr>
          <w:rFonts w:hint="eastAsia" w:ascii="Times New Roman" w:hAnsi="Times New Roman" w:eastAsia="仿宋_GB2312" w:cs="仿宋_GB2312"/>
          <w:sz w:val="32"/>
          <w:szCs w:val="32"/>
          <w:lang w:val="en-US" w:eastAsia="zh-CN"/>
        </w:rPr>
        <w:t>培育</w:t>
      </w:r>
      <w:r>
        <w:rPr>
          <w:rFonts w:hint="eastAsia" w:ascii="Times New Roman" w:hAnsi="Times New Roman" w:eastAsia="仿宋_GB2312" w:cs="仿宋_GB2312"/>
          <w:sz w:val="32"/>
          <w:szCs w:val="32"/>
        </w:rPr>
        <w:t>按照“统筹设计、阶段推进、突出重点”的思路，从区域和产业发展对质量创新、质量基础设施的重大需求和社会发展对安全、健康的创新要求出发，系统布局，择优遴选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培育成熟的优先推荐省部级或国家级质量标准实验室</w:t>
      </w:r>
      <w:r>
        <w:rPr>
          <w:rFonts w:hint="eastAsia" w:ascii="Times New Roman" w:hAnsi="Times New Roman" w:eastAsia="仿宋_GB2312" w:cs="仿宋_GB2312"/>
          <w:sz w:val="32"/>
          <w:szCs w:val="32"/>
        </w:rPr>
        <w:t>。</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楷体"/>
          <w:bCs/>
          <w:sz w:val="32"/>
          <w:szCs w:val="32"/>
        </w:rPr>
        <w:t>重点布局领域：</w:t>
      </w:r>
      <w:r>
        <w:rPr>
          <w:rFonts w:hint="eastAsia" w:ascii="Times New Roman" w:hAnsi="Times New Roman" w:eastAsia="仿宋_GB2312" w:cs="仿宋_GB2312"/>
          <w:sz w:val="32"/>
          <w:szCs w:val="32"/>
        </w:rPr>
        <w:t>新一代信息技术、人工智能、生命健康、智能网联新能源汽车、低空经济、绿色能源、智能装备、智能家电、高端化工与新材料、现代轻工等创新型产业；</w:t>
      </w:r>
      <w:r>
        <w:rPr>
          <w:rFonts w:hint="eastAsia" w:ascii="Times New Roman" w:eastAsia="仿宋_GB2312" w:cs="仿宋_GB2312"/>
          <w:sz w:val="32"/>
          <w:szCs w:val="32"/>
          <w:lang w:val="en-US" w:eastAsia="zh-CN"/>
        </w:rPr>
        <w:t>太赫兹、海洋电子信息、深海研发、空天信息、类脑智能、量子信息、先进半导体、卫星互联网等未来产业；</w:t>
      </w:r>
      <w:r>
        <w:rPr>
          <w:rFonts w:hint="eastAsia" w:ascii="Times New Roman" w:hAnsi="Times New Roman" w:eastAsia="仿宋_GB2312" w:cs="仿宋_GB2312"/>
          <w:sz w:val="32"/>
          <w:szCs w:val="32"/>
        </w:rPr>
        <w:t>海洋化工、海洋装备、海洋药物和生物制品、海洋新能源、深海开发、海洋电子信息等现代海洋产业。</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楷体"/>
          <w:bCs/>
          <w:sz w:val="32"/>
          <w:szCs w:val="32"/>
        </w:rPr>
        <w:t>重点研究内容：</w:t>
      </w:r>
      <w:r>
        <w:rPr>
          <w:rFonts w:hint="eastAsia" w:ascii="Times New Roman" w:hAnsi="Times New Roman" w:eastAsia="仿宋_GB2312" w:cs="仿宋_GB2312"/>
          <w:sz w:val="32"/>
          <w:szCs w:val="32"/>
        </w:rPr>
        <w:t>围绕质量、安全、健康、环保等领域，聚焦产品设计、生产控制、检测试验、管理体系等影响质量的各环节，开展科学研究并组织相应标准的研究、制定和推广。主要包括：承担质量标准基础科学与应用研究；加强关键性、前瞻性、战略性质量共性技术攻关；开展先进质量标准、检验检测方法、高端计量标准，检验检测仪器、设备、设施的研制；解决质量创新、安全风险管控、质量治理重要问题；培养质量标准领军人才；加快科研成果转化，为产业高质量发展提供基础性保障服务。</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黑体" w:cs="黑体"/>
          <w:color w:val="000000"/>
          <w:sz w:val="32"/>
          <w:szCs w:val="32"/>
        </w:rPr>
      </w:pPr>
      <w:r>
        <w:rPr>
          <w:rFonts w:hint="eastAsia" w:ascii="Times New Roman" w:hAnsi="Times New Roman" w:eastAsia="黑体" w:cs="黑体"/>
          <w:color w:val="000000"/>
          <w:sz w:val="32"/>
          <w:szCs w:val="32"/>
        </w:rPr>
        <w:t>二、</w:t>
      </w:r>
      <w:r>
        <w:rPr>
          <w:rFonts w:hint="eastAsia" w:ascii="Times New Roman" w:hAnsi="Times New Roman" w:eastAsia="黑体" w:cs="黑体"/>
          <w:color w:val="000000"/>
          <w:sz w:val="32"/>
          <w:szCs w:val="32"/>
          <w:lang w:val="en-US" w:eastAsia="zh-CN"/>
        </w:rPr>
        <w:t>培育</w:t>
      </w:r>
      <w:r>
        <w:rPr>
          <w:rFonts w:hint="eastAsia" w:ascii="Times New Roman" w:hAnsi="Times New Roman" w:eastAsia="黑体" w:cs="黑体"/>
          <w:color w:val="000000"/>
          <w:sz w:val="32"/>
          <w:szCs w:val="32"/>
        </w:rPr>
        <w:t>条件</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质量标准实验室是依托具有较强研究开发和技术辐射能力的科研院所、高等院校、企业建设的科研实体，实行人财物相对独立的管理机制。鼓励采用产学研用合作模式，组建跨行业、跨区域联合体。</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纳入培育的</w:t>
      </w:r>
      <w:r>
        <w:rPr>
          <w:rFonts w:hint="eastAsia" w:ascii="Times New Roman" w:hAnsi="Times New Roman" w:eastAsia="仿宋_GB2312" w:cs="仿宋_GB2312"/>
          <w:sz w:val="32"/>
          <w:szCs w:val="32"/>
        </w:rPr>
        <w:t>质量标准实验室须满足下列条件</w:t>
      </w:r>
      <w:r>
        <w:rPr>
          <w:rFonts w:hint="eastAsia" w:ascii="Times New Roman"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default" w:ascii="Times New Roman" w:hAnsi="Times New Roman" w:eastAsia="仿宋_GB2312" w:cs="仿宋_GB2312"/>
          <w:sz w:val="32"/>
          <w:szCs w:val="32"/>
          <w:lang w:val="en-US" w:eastAsia="zh-CN"/>
        </w:rPr>
      </w:pPr>
      <w:r>
        <w:rPr>
          <w:rFonts w:hint="eastAsia" w:ascii="楷体_GB2312" w:hAnsi="楷体_GB2312" w:eastAsia="楷体_GB2312" w:cs="楷体_GB2312"/>
          <w:sz w:val="32"/>
          <w:szCs w:val="32"/>
        </w:rPr>
        <w:t>（一）设施条件。</w:t>
      </w:r>
      <w:r>
        <w:rPr>
          <w:rFonts w:hint="eastAsia" w:ascii="Times New Roman" w:hAnsi="Times New Roman" w:eastAsia="仿宋_GB2312" w:cs="仿宋_GB2312"/>
          <w:sz w:val="32"/>
          <w:szCs w:val="32"/>
        </w:rPr>
        <w:t>具备良好的科研实验条件，拥有完善的配套设施和安全保障能力。现有科研用房相对集中，原则上面积在</w:t>
      </w:r>
      <w:r>
        <w:rPr>
          <w:rFonts w:hint="eastAsia" w:ascii="Times New Roman" w:hAnsi="Times New Roman" w:eastAsia="仿宋_GB2312" w:cs="仿宋_GB2312"/>
          <w:sz w:val="32"/>
          <w:szCs w:val="32"/>
          <w:lang w:val="en-US" w:eastAsia="zh-CN"/>
        </w:rPr>
        <w:t>1000</w:t>
      </w:r>
      <w:r>
        <w:rPr>
          <w:rFonts w:hint="eastAsia" w:ascii="Times New Roman" w:hAnsi="Times New Roman" w:eastAsia="仿宋_GB2312" w:cs="仿宋_GB2312"/>
          <w:sz w:val="32"/>
          <w:szCs w:val="32"/>
        </w:rPr>
        <w:t>平方米以上，仪器设备现值</w:t>
      </w:r>
      <w:r>
        <w:rPr>
          <w:rFonts w:hint="eastAsia" w:ascii="Times New Roman" w:hAnsi="Times New Roman" w:eastAsia="仿宋_GB2312" w:cs="仿宋_GB2312"/>
          <w:sz w:val="32"/>
          <w:szCs w:val="32"/>
          <w:lang w:val="en-US" w:eastAsia="zh-CN"/>
        </w:rPr>
        <w:t>3000</w:t>
      </w:r>
      <w:r>
        <w:rPr>
          <w:rFonts w:hint="eastAsia" w:ascii="Times New Roman" w:hAnsi="Times New Roman" w:eastAsia="仿宋_GB2312" w:cs="仿宋_GB2312"/>
          <w:sz w:val="32"/>
          <w:szCs w:val="32"/>
        </w:rPr>
        <w:t>万元以上，满足科研需要。现有仪器设备测量精度达到国内先进水平，实验数据准确、可靠，测量能力满足实验室</w:t>
      </w:r>
      <w:r>
        <w:rPr>
          <w:rFonts w:hint="eastAsia" w:ascii="Times New Roman" w:hAnsi="Times New Roman" w:eastAsia="仿宋_GB2312" w:cs="仿宋_GB2312"/>
          <w:sz w:val="32"/>
          <w:szCs w:val="32"/>
          <w:lang w:val="en-US" w:eastAsia="zh-CN"/>
        </w:rPr>
        <w:t>制修订标准（包括国家标准物质/标准样品）和后期</w:t>
      </w:r>
      <w:r>
        <w:rPr>
          <w:rFonts w:hint="eastAsia" w:ascii="Times New Roman" w:hAnsi="Times New Roman" w:eastAsia="仿宋_GB2312" w:cs="仿宋_GB2312"/>
          <w:sz w:val="32"/>
          <w:szCs w:val="32"/>
        </w:rPr>
        <w:t>发展</w:t>
      </w:r>
      <w:r>
        <w:rPr>
          <w:rFonts w:hint="eastAsia" w:ascii="Times New Roman" w:hAnsi="Times New Roman" w:eastAsia="仿宋_GB2312" w:cs="仿宋_GB2312"/>
          <w:sz w:val="32"/>
          <w:szCs w:val="32"/>
          <w:lang w:eastAsia="zh-CN"/>
        </w:rPr>
        <w:t>的</w:t>
      </w:r>
      <w:r>
        <w:rPr>
          <w:rFonts w:hint="eastAsia" w:ascii="Times New Roman" w:hAnsi="Times New Roman" w:eastAsia="仿宋_GB2312" w:cs="仿宋_GB2312"/>
          <w:sz w:val="32"/>
          <w:szCs w:val="32"/>
        </w:rPr>
        <w:t>需要。具备较强的数据分析能力，可供分析使用的数据达到一定的存储规模。</w:t>
      </w:r>
      <w:r>
        <w:rPr>
          <w:rFonts w:hint="eastAsia" w:ascii="Times New Roman" w:eastAsia="仿宋_GB2312" w:cs="仿宋_GB2312"/>
          <w:sz w:val="32"/>
          <w:szCs w:val="32"/>
          <w:lang w:val="en-US" w:eastAsia="zh-CN"/>
        </w:rPr>
        <w:t>针对新兴、未来等领域，可适当放宽实验室面积和设备价值等硬件设施条件。</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楷体_GB2312" w:hAnsi="楷体_GB2312" w:eastAsia="楷体_GB2312" w:cs="楷体_GB2312"/>
          <w:sz w:val="32"/>
          <w:szCs w:val="32"/>
        </w:rPr>
        <w:t>（二）学术团队。</w:t>
      </w:r>
      <w:r>
        <w:rPr>
          <w:rFonts w:hint="eastAsia" w:ascii="Times New Roman" w:hAnsi="Times New Roman" w:eastAsia="仿宋_GB2312" w:cs="仿宋_GB2312"/>
          <w:sz w:val="32"/>
          <w:szCs w:val="32"/>
        </w:rPr>
        <w:t>在相关领域</w:t>
      </w:r>
      <w:r>
        <w:rPr>
          <w:rFonts w:hint="eastAsia" w:ascii="Times New Roman" w:hAnsi="Times New Roman" w:eastAsia="仿宋_GB2312" w:cs="仿宋_GB2312"/>
          <w:sz w:val="32"/>
          <w:szCs w:val="32"/>
          <w:lang w:val="en-US" w:eastAsia="zh-CN"/>
        </w:rPr>
        <w:t>尤其是标准方面</w:t>
      </w:r>
      <w:r>
        <w:rPr>
          <w:rFonts w:hint="eastAsia" w:ascii="Times New Roman" w:hAnsi="Times New Roman" w:eastAsia="仿宋_GB2312" w:cs="仿宋_GB2312"/>
          <w:sz w:val="32"/>
          <w:szCs w:val="32"/>
        </w:rPr>
        <w:t>具有较高学术造诣的专家组成的学术委员会，有能力在推动实验室发展，把握实验室目标、任务和研究方向，制订和批准实验室的中长期规划，审议实验室重大学术活动、年度工作等方面，发挥重要学术指导作用。</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实验室自身研究团队有本领域高水平学术带头人，具有国际化视野，在质量基础和相关领域的国内或国际组织</w:t>
      </w:r>
      <w:r>
        <w:rPr>
          <w:rFonts w:hint="eastAsia" w:ascii="Times New Roman" w:hAnsi="Times New Roman" w:eastAsia="仿宋_GB2312" w:cs="仿宋_GB2312"/>
          <w:sz w:val="32"/>
          <w:szCs w:val="32"/>
          <w:lang w:val="en-US" w:eastAsia="zh-CN"/>
        </w:rPr>
        <w:t>尤其是标准化组织</w:t>
      </w:r>
      <w:r>
        <w:rPr>
          <w:rFonts w:hint="eastAsia" w:ascii="Times New Roman" w:hAnsi="Times New Roman" w:eastAsia="仿宋_GB2312" w:cs="仿宋_GB2312"/>
          <w:sz w:val="32"/>
          <w:szCs w:val="32"/>
        </w:rPr>
        <w:t>担任技术职务，具有较强的组织管理和协调能力，保障在实验室工作时长。研究团队骨干人员相对固定，团队年龄与知识结构合理，具备承担国家、省部级重大科研项目和广泛开展国际、国内学术交流与合作的能力。人才引进机制健全，能够吸引、凝聚国内外优秀人才，培养质量标准后备力量。</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楷体_GB2312" w:hAnsi="楷体_GB2312" w:eastAsia="楷体_GB2312" w:cs="楷体_GB2312"/>
          <w:sz w:val="32"/>
          <w:szCs w:val="32"/>
        </w:rPr>
        <w:t>（三）研究能力。</w:t>
      </w:r>
      <w:r>
        <w:rPr>
          <w:rFonts w:hint="eastAsia" w:ascii="Times New Roman" w:hAnsi="Times New Roman" w:eastAsia="仿宋_GB2312" w:cs="仿宋_GB2312"/>
          <w:sz w:val="32"/>
          <w:szCs w:val="32"/>
        </w:rPr>
        <w:t>具有相关领域的研究实践基础，具备浓厚的研究氛围，良好的学术环境。符合国家质量标准实验室建设布局和研究重点要求。</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1.近5年承担相关领域市级科研项目不少于15项或项目总金额达到2000万元。</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2.在把握本领域质量标准发展现状、问题、技术关键和重大需求方面具有权威性。</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3.开展并取得国际前沿的质量标准、计量检测等技术突破，解决过“卡脖子”共性质量标准瓶颈问题。</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楷体_GB2312" w:hAnsi="楷体_GB2312" w:eastAsia="楷体_GB2312" w:cs="楷体_GB2312"/>
          <w:sz w:val="32"/>
          <w:szCs w:val="32"/>
        </w:rPr>
        <w:t>（四）科研成果。</w:t>
      </w:r>
      <w:r>
        <w:rPr>
          <w:rFonts w:hint="eastAsia" w:ascii="Times New Roman" w:hAnsi="Times New Roman" w:eastAsia="仿宋_GB2312" w:cs="仿宋_GB2312"/>
          <w:sz w:val="32"/>
          <w:szCs w:val="32"/>
        </w:rPr>
        <w:t>在先进质量标准、检验检测方法、高端计量仪器、检验检测设备设施的研制验证、质量标准基础科学与应用研究、质量共性技术、质量方面重要问题等领域具有一定的研究成果及应用。拥有丰富的产学研用协作经验，积极向社会提供公益性质量服务活动。需具备以下条件的任意三项：</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1.在质量标准技术前沿探索研究中取得具有全国影响的系统性原创成果。</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2.在解决质量发展面临的重大问题中具有创新思想与方法，实现相关重要基础原理的创新、关键技术突破或集成。</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3.拥有相关领域的国内领先技术成果（新技术、新设备、标准、规程、规范等），或近3年主导制（修）订相关产业领域国家标准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包括国家标准物质/标准样品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、行业标准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包括计量、校准规范</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以及部门公告发布的检验方法数不低于</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项</w:t>
      </w:r>
      <w:r>
        <w:rPr>
          <w:rFonts w:hint="eastAsia" w:ascii="Times New Roman" w:hAnsi="Times New Roman"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4.近3年累计转化科技成果1</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项以上，或本领域内提供质量技术服务金额不低于</w:t>
      </w:r>
      <w:r>
        <w:rPr>
          <w:rFonts w:hint="eastAsia" w:ascii="Times New Roman" w:hAnsi="Times New Roman" w:eastAsia="仿宋_GB2312" w:cs="仿宋_GB2312"/>
          <w:sz w:val="32"/>
          <w:szCs w:val="32"/>
          <w:lang w:val="en-US" w:eastAsia="zh-CN"/>
        </w:rPr>
        <w:t>1000</w:t>
      </w:r>
      <w:r>
        <w:rPr>
          <w:rFonts w:hint="eastAsia" w:ascii="Times New Roman" w:hAnsi="Times New Roman"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5.积累有丰富的质量标准数据，能够为相关领域研究提供支撑，为</w:t>
      </w:r>
      <w:r>
        <w:rPr>
          <w:rFonts w:hint="eastAsia" w:ascii="Times New Roman" w:hAnsi="Times New Roman" w:eastAsia="仿宋_GB2312" w:cs="仿宋_GB2312"/>
          <w:sz w:val="32"/>
          <w:szCs w:val="32"/>
          <w:lang w:eastAsia="zh-CN"/>
        </w:rPr>
        <w:t>产业</w:t>
      </w:r>
      <w:r>
        <w:rPr>
          <w:rFonts w:hint="eastAsia" w:ascii="Times New Roman" w:hAnsi="Times New Roman" w:eastAsia="仿宋_GB2312" w:cs="仿宋_GB2312"/>
          <w:sz w:val="32"/>
          <w:szCs w:val="32"/>
        </w:rPr>
        <w:t>宏观决策提供科学依据。</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楷体_GB2312" w:hAnsi="楷体_GB2312" w:eastAsia="楷体_GB2312" w:cs="楷体_GB2312"/>
          <w:sz w:val="32"/>
          <w:szCs w:val="32"/>
        </w:rPr>
        <w:t>（五）保障措施。</w:t>
      </w:r>
      <w:r>
        <w:rPr>
          <w:rFonts w:hint="eastAsia" w:ascii="Times New Roman" w:hAnsi="Times New Roman" w:eastAsia="仿宋_GB2312" w:cs="仿宋_GB2312"/>
          <w:sz w:val="32"/>
          <w:szCs w:val="32"/>
        </w:rPr>
        <w:t>实验室建设方向是依托单位的重点发展方向之一。依托单位、推荐单位能够在机构、人员、经费、资源等方面，优先支持质量标准实验室的建设和发展。</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黑体" w:cs="黑体"/>
          <w:color w:val="000000"/>
          <w:sz w:val="32"/>
          <w:szCs w:val="32"/>
        </w:rPr>
      </w:pPr>
      <w:r>
        <w:rPr>
          <w:rFonts w:hint="eastAsia" w:ascii="Times New Roman" w:hAnsi="Times New Roman" w:eastAsia="黑体" w:cs="黑体"/>
          <w:color w:val="000000"/>
          <w:sz w:val="32"/>
          <w:szCs w:val="32"/>
        </w:rPr>
        <w:t>三、</w:t>
      </w:r>
      <w:r>
        <w:rPr>
          <w:rFonts w:hint="eastAsia" w:ascii="Times New Roman" w:hAnsi="Times New Roman" w:eastAsia="黑体" w:cs="黑体"/>
          <w:color w:val="000000"/>
          <w:sz w:val="32"/>
          <w:szCs w:val="32"/>
          <w:lang w:val="en-US" w:eastAsia="zh-CN"/>
        </w:rPr>
        <w:t>工作</w:t>
      </w:r>
      <w:r>
        <w:rPr>
          <w:rFonts w:hint="eastAsia" w:ascii="Times New Roman" w:hAnsi="Times New Roman" w:eastAsia="黑体" w:cs="黑体"/>
          <w:color w:val="000000"/>
          <w:sz w:val="32"/>
          <w:szCs w:val="32"/>
        </w:rPr>
        <w:t>程序</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质量标准实验室</w:t>
      </w:r>
      <w:r>
        <w:rPr>
          <w:rFonts w:hint="eastAsia" w:ascii="Times New Roman" w:hAnsi="Times New Roman" w:eastAsia="仿宋_GB2312" w:cs="仿宋_GB2312"/>
          <w:sz w:val="32"/>
          <w:szCs w:val="32"/>
          <w:lang w:val="en-US" w:eastAsia="zh-CN"/>
        </w:rPr>
        <w:t>培育工作按照</w:t>
      </w:r>
      <w:r>
        <w:rPr>
          <w:rFonts w:hint="eastAsia" w:ascii="Times New Roman" w:hAnsi="Times New Roman" w:eastAsia="仿宋_GB2312" w:cs="仿宋_GB2312"/>
          <w:sz w:val="32"/>
          <w:szCs w:val="32"/>
        </w:rPr>
        <w:t>自愿申报、审查受理、组织评审、审议通过和</w:t>
      </w:r>
      <w:r>
        <w:rPr>
          <w:rFonts w:hint="eastAsia" w:ascii="Times New Roman" w:hAnsi="Times New Roman" w:eastAsia="仿宋_GB2312" w:cs="仿宋_GB2312"/>
          <w:sz w:val="32"/>
          <w:szCs w:val="32"/>
          <w:lang w:val="en-US" w:eastAsia="zh-CN"/>
        </w:rPr>
        <w:t>确定培育对象等程序进行</w:t>
      </w:r>
      <w:r>
        <w:rPr>
          <w:rFonts w:hint="eastAsia" w:ascii="Times New Roman" w:hAnsi="Times New Roman" w:eastAsia="仿宋_GB2312" w:cs="仿宋_GB2312"/>
          <w:sz w:val="32"/>
          <w:szCs w:val="32"/>
        </w:rPr>
        <w:t>。</w:t>
      </w:r>
    </w:p>
    <w:p>
      <w:pPr>
        <w:keepNext w:val="0"/>
        <w:keepLines w:val="0"/>
        <w:pageBreakBefore w:val="0"/>
        <w:widowControl w:val="0"/>
        <w:tabs>
          <w:tab w:val="left" w:pos="2436"/>
        </w:tabs>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r>
        <w:rPr>
          <w:rFonts w:hint="eastAsia" w:ascii="楷体_GB2312" w:hAnsi="楷体_GB2312" w:eastAsia="楷体_GB2312" w:cs="楷体_GB2312"/>
          <w:sz w:val="32"/>
          <w:szCs w:val="32"/>
        </w:rPr>
        <w:t>（一）自愿申报。</w:t>
      </w:r>
      <w:r>
        <w:rPr>
          <w:rFonts w:hint="eastAsia" w:ascii="Times New Roman" w:hAnsi="Times New Roman" w:eastAsia="仿宋_GB2312" w:cs="仿宋_GB2312"/>
          <w:sz w:val="32"/>
          <w:szCs w:val="32"/>
        </w:rPr>
        <w:t>符合条件的单位自愿申报，如实编制申报材料，加盖依托单位公章提交到</w:t>
      </w:r>
      <w:r>
        <w:rPr>
          <w:rFonts w:hint="eastAsia" w:ascii="Times New Roman" w:hAnsi="Times New Roman" w:eastAsia="仿宋_GB2312" w:cs="仿宋_GB2312"/>
          <w:sz w:val="32"/>
          <w:szCs w:val="32"/>
          <w:lang w:val="en-US" w:eastAsia="zh-CN"/>
        </w:rPr>
        <w:t>市市场监管局</w:t>
      </w:r>
      <w:r>
        <w:rPr>
          <w:rFonts w:hint="eastAsia" w:ascii="Times New Roman" w:hAnsi="Times New Roman" w:eastAsia="仿宋_GB2312" w:cs="仿宋_GB2312"/>
          <w:sz w:val="32"/>
          <w:szCs w:val="32"/>
        </w:rPr>
        <w:t>。质量标准实验室可以单独申报，也可以联合共建。联合共建的，由主要承建方负责组织申报，参与各方通过协议明确人员、资金、设备、项目、知识产权等方面的责任与权利。</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）审查受理。</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市市场监管局</w:t>
      </w:r>
      <w:r>
        <w:rPr>
          <w:rFonts w:hint="eastAsia" w:ascii="Times New Roman" w:hAnsi="Times New Roman" w:eastAsia="仿宋_GB2312" w:cs="仿宋_GB2312"/>
          <w:sz w:val="32"/>
          <w:szCs w:val="32"/>
          <w:lang w:val="en-US" w:eastAsia="zh-CN"/>
        </w:rPr>
        <w:t>统一</w:t>
      </w:r>
      <w:r>
        <w:rPr>
          <w:rFonts w:hint="eastAsia" w:ascii="Times New Roman" w:hAnsi="Times New Roman" w:eastAsia="仿宋_GB2312" w:cs="仿宋_GB2312"/>
          <w:sz w:val="32"/>
          <w:szCs w:val="32"/>
        </w:rPr>
        <w:t>受理实验室申报材料，</w:t>
      </w:r>
      <w:r>
        <w:rPr>
          <w:rFonts w:hint="eastAsia" w:ascii="Times New Roman" w:hAnsi="Times New Roman" w:eastAsia="仿宋_GB2312" w:cs="仿宋_GB2312"/>
          <w:sz w:val="32"/>
          <w:szCs w:val="32"/>
          <w:lang w:val="en-US" w:eastAsia="zh-CN"/>
        </w:rPr>
        <w:t>并</w:t>
      </w:r>
      <w:r>
        <w:rPr>
          <w:rFonts w:hint="eastAsia" w:ascii="Times New Roman" w:hAnsi="Times New Roman" w:eastAsia="仿宋_GB2312" w:cs="仿宋_GB2312"/>
          <w:sz w:val="32"/>
          <w:szCs w:val="32"/>
        </w:rPr>
        <w:t>对申报材料进行形式审查。</w:t>
      </w:r>
    </w:p>
    <w:p>
      <w:pPr>
        <w:keepNext w:val="0"/>
        <w:keepLines w:val="0"/>
        <w:pageBreakBefore w:val="0"/>
        <w:widowControl w:val="0"/>
        <w:kinsoku/>
        <w:wordWrap/>
        <w:overflowPunct/>
        <w:topLinePunct w:val="0"/>
        <w:autoSpaceDE/>
        <w:autoSpaceDN/>
        <w:bidi w:val="0"/>
        <w:adjustRightInd/>
        <w:snapToGrid/>
        <w:spacing w:after="157" w:afterLines="50" w:line="560" w:lineRule="exact"/>
        <w:ind w:left="0" w:leftChars="0" w:right="0" w:rightChars="0" w:firstLine="640" w:firstLineChars="200"/>
        <w:textAlignment w:val="auto"/>
        <w:rPr>
          <w:rFonts w:hint="eastAsia"/>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）组织评审。</w:t>
      </w:r>
      <w:r>
        <w:rPr>
          <w:rFonts w:hint="eastAsia" w:ascii="Times New Roman" w:hAnsi="Times New Roman" w:eastAsia="仿宋_GB2312" w:cs="仿宋_GB2312"/>
          <w:sz w:val="32"/>
          <w:szCs w:val="32"/>
        </w:rPr>
        <w:t>市市场监管局</w:t>
      </w:r>
      <w:r>
        <w:rPr>
          <w:rFonts w:hint="eastAsia" w:ascii="Times New Roman" w:eastAsia="仿宋_GB2312" w:cs="仿宋_GB2312"/>
          <w:sz w:val="32"/>
          <w:szCs w:val="32"/>
          <w:lang w:eastAsia="zh-CN"/>
        </w:rPr>
        <w:t>组织</w:t>
      </w:r>
      <w:r>
        <w:rPr>
          <w:rFonts w:hint="eastAsia" w:ascii="Times New Roman" w:hAnsi="Times New Roman" w:eastAsia="仿宋_GB2312" w:cs="仿宋_GB2312"/>
          <w:sz w:val="32"/>
          <w:szCs w:val="32"/>
        </w:rPr>
        <w:t>对受理的实验室申报材料</w:t>
      </w:r>
      <w:r>
        <w:rPr>
          <w:rFonts w:hint="eastAsia" w:ascii="Times New Roman" w:hAnsi="Times New Roman" w:eastAsia="仿宋_GB2312" w:cs="仿宋_GB2312"/>
          <w:sz w:val="32"/>
          <w:szCs w:val="32"/>
          <w:lang w:val="en-US" w:eastAsia="zh-CN"/>
        </w:rPr>
        <w:t>和</w:t>
      </w:r>
      <w:r>
        <w:rPr>
          <w:rFonts w:hint="eastAsia" w:ascii="Times New Roman" w:hAnsi="Times New Roman" w:eastAsia="仿宋_GB2312" w:cs="仿宋_GB2312"/>
          <w:sz w:val="32"/>
          <w:szCs w:val="32"/>
        </w:rPr>
        <w:t>实验室评审。根据实验室基础条件、研究发展方向、技术路线、建设规划、运行方式等，按照优中选优的原则，产生质量标准实验室</w:t>
      </w:r>
      <w:r>
        <w:rPr>
          <w:rFonts w:hint="eastAsia" w:ascii="Times New Roman" w:hAnsi="Times New Roman" w:eastAsia="仿宋_GB2312" w:cs="仿宋_GB2312"/>
          <w:sz w:val="32"/>
          <w:szCs w:val="32"/>
          <w:lang w:val="en-US" w:eastAsia="zh-CN"/>
        </w:rPr>
        <w:t>培育</w:t>
      </w:r>
      <w:r>
        <w:rPr>
          <w:rFonts w:hint="eastAsia" w:ascii="Times New Roman" w:hAnsi="Times New Roman" w:eastAsia="仿宋_GB2312" w:cs="仿宋_GB2312"/>
          <w:sz w:val="32"/>
          <w:szCs w:val="32"/>
        </w:rPr>
        <w:t>建议名单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实验室评价主要内容如下：</w:t>
      </w:r>
    </w:p>
    <w:tbl>
      <w:tblPr>
        <w:tblStyle w:val="11"/>
        <w:tblpPr w:leftFromText="180" w:rightFromText="180" w:vertAnchor="text" w:horzAnchor="page" w:tblpX="1782" w:tblpY="24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2090"/>
        <w:gridCol w:w="4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bidi="ar"/>
              </w:rPr>
              <w:t>一级指标</w:t>
            </w:r>
          </w:p>
        </w:tc>
        <w:tc>
          <w:tcPr>
            <w:tcW w:w="20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bidi="ar"/>
              </w:rPr>
              <w:t>二级指标</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bidi="ar"/>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基础性</w:t>
            </w: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科研实验设备和条件</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体系先进，测量能力满足实验室发展需要，取得必要的实验室认可资质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科研用房相对集中，具备与实验室任务匹配的专门的科研、试验测试场地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科研仪器设备规模、完备性水平、使用情况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科研人员整体水平</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研究团队规模能满足研发需要，人员相对固定，年龄与知识结构合理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技术带头人水平</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技术带头人在所申报领域的影响力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技术带头人代表性成果显著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前瞻性</w:t>
            </w: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分析准确性及全面性</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本领域质量发展现状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本领域质量基础设施现状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行业发展未来需求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质量技术瓶颈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实验室规划的合理性</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拟解决问题的重要性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实验室建设目标的合理性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技术发展路线的可行性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创新性</w:t>
            </w: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创新能力</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近3年取得的重大科技创新成果、承担国家级科研任务情况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参与国际国内标准、计量、合格评定相关组织情况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预期创新成果</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制定领先的国际、国家、行业标准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检测方法、安全评估方法突破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计量、检测设备攻关或</w:t>
            </w:r>
            <w:r>
              <w:rPr>
                <w:rFonts w:hint="eastAsia" w:ascii="仿宋_GB2312" w:hAnsi="仿宋_GB2312" w:eastAsia="仿宋_GB2312" w:cs="仿宋_GB2312"/>
                <w:sz w:val="28"/>
                <w:szCs w:val="28"/>
                <w:lang w:eastAsia="zh-CN" w:bidi="ar"/>
              </w:rPr>
              <w:t>“卡脖子”问题</w:t>
            </w:r>
            <w:r>
              <w:rPr>
                <w:rFonts w:hint="eastAsia" w:ascii="仿宋_GB2312" w:hAnsi="仿宋_GB2312" w:eastAsia="仿宋_GB2312" w:cs="仿宋_GB2312"/>
                <w:sz w:val="28"/>
                <w:szCs w:val="28"/>
                <w:lang w:bidi="ar"/>
              </w:rPr>
              <w:t>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质量政策、质量治理工具方法突破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创新投入</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实验室预期自主创新投入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依托单位、主管部门在人员编制、经费投入、资源配置等方面的支持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推广性</w:t>
            </w:r>
          </w:p>
        </w:tc>
        <w:tc>
          <w:tcPr>
            <w:tcW w:w="20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推广机制</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实验室运行机制可行性、可持续性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lang w:bidi="ar"/>
              </w:rPr>
            </w:pPr>
          </w:p>
        </w:tc>
        <w:tc>
          <w:tcPr>
            <w:tcW w:w="209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lang w:bidi="ar"/>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实验室成果推广机制可行性、示范性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成果转化情况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推广价值</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预期成果推广的社会价值或经济效益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规范性</w:t>
            </w:r>
          </w:p>
        </w:tc>
        <w:tc>
          <w:tcPr>
            <w:tcW w:w="20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管理制度</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人员、项目、设备、经费等管理制度健全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560" w:firstLineChars="200"/>
              <w:jc w:val="center"/>
              <w:textAlignment w:val="auto"/>
              <w:rPr>
                <w:rFonts w:hint="eastAsia" w:ascii="仿宋_GB2312" w:hAnsi="仿宋_GB2312" w:eastAsia="仿宋_GB2312" w:cs="仿宋_GB2312"/>
                <w:sz w:val="28"/>
                <w:szCs w:val="28"/>
              </w:rPr>
            </w:pPr>
          </w:p>
        </w:tc>
        <w:tc>
          <w:tcPr>
            <w:tcW w:w="20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规范运行（否决项）</w:t>
            </w:r>
          </w:p>
        </w:tc>
        <w:tc>
          <w:tcPr>
            <w:tcW w:w="47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存在出具虚假报告、学术不端、数据造假等违</w:t>
            </w:r>
            <w:r>
              <w:rPr>
                <w:rFonts w:hint="eastAsia" w:ascii="仿宋_GB2312" w:hAnsi="仿宋_GB2312" w:eastAsia="仿宋_GB2312" w:cs="仿宋_GB2312"/>
                <w:sz w:val="28"/>
                <w:szCs w:val="28"/>
                <w:lang w:eastAsia="zh-CN" w:bidi="ar"/>
              </w:rPr>
              <w:t>法</w:t>
            </w:r>
            <w:r>
              <w:rPr>
                <w:rFonts w:hint="eastAsia" w:ascii="仿宋_GB2312" w:hAnsi="仿宋_GB2312" w:eastAsia="仿宋_GB2312" w:cs="仿宋_GB2312"/>
                <w:sz w:val="28"/>
                <w:szCs w:val="28"/>
                <w:lang w:bidi="ar"/>
              </w:rPr>
              <w:t>、不诚信等行为</w:t>
            </w:r>
          </w:p>
        </w:tc>
      </w:tr>
    </w:tbl>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pPr>
      <w:r>
        <w:rPr>
          <w:rFonts w:hint="eastAsia" w:ascii="Times New Roman" w:hAnsi="Times New Roman" w:eastAsia="楷体"/>
          <w:sz w:val="32"/>
          <w:szCs w:val="32"/>
        </w:rPr>
        <w:t>（</w:t>
      </w:r>
      <w:r>
        <w:rPr>
          <w:rFonts w:hint="eastAsia" w:ascii="Times New Roman" w:hAnsi="Times New Roman" w:eastAsia="楷体"/>
          <w:sz w:val="32"/>
          <w:szCs w:val="32"/>
          <w:lang w:val="en-US" w:eastAsia="zh-CN"/>
        </w:rPr>
        <w:t>四</w:t>
      </w:r>
      <w:r>
        <w:rPr>
          <w:rFonts w:hint="eastAsia" w:ascii="Times New Roman" w:hAnsi="Times New Roman" w:eastAsia="楷体"/>
          <w:sz w:val="32"/>
          <w:szCs w:val="32"/>
        </w:rPr>
        <w:t>）</w:t>
      </w:r>
      <w:r>
        <w:rPr>
          <w:rFonts w:hint="eastAsia" w:ascii="Times New Roman" w:hAnsi="Times New Roman" w:eastAsia="楷体" w:cs="Times New Roman"/>
          <w:kern w:val="2"/>
          <w:sz w:val="32"/>
          <w:szCs w:val="32"/>
          <w:lang w:val="en-US" w:eastAsia="zh-CN" w:bidi="ar-SA"/>
        </w:rPr>
        <w:t>确定培育对象</w:t>
      </w:r>
      <w:r>
        <w:rPr>
          <w:rFonts w:hint="eastAsia" w:ascii="Times New Roman" w:hAnsi="Times New Roman" w:eastAsia="楷体"/>
          <w:sz w:val="32"/>
          <w:szCs w:val="32"/>
        </w:rPr>
        <w:t>。</w:t>
      </w:r>
      <w:r>
        <w:rPr>
          <w:rFonts w:hint="eastAsia" w:ascii="Times New Roman" w:hAnsi="Times New Roman" w:eastAsia="仿宋_GB2312" w:cs="仿宋_GB2312"/>
          <w:sz w:val="32"/>
          <w:szCs w:val="32"/>
        </w:rPr>
        <w:t>建议名单经市市场监管局审定后，向社会公示，公示期不少于5个工作日。公示后无异议的，</w:t>
      </w:r>
      <w:r>
        <w:rPr>
          <w:rFonts w:hint="eastAsia" w:ascii="Times New Roman" w:hAnsi="Times New Roman" w:eastAsia="仿宋_GB2312" w:cs="仿宋_GB2312"/>
          <w:sz w:val="32"/>
          <w:szCs w:val="32"/>
          <w:lang w:val="en-US" w:eastAsia="zh-CN"/>
        </w:rPr>
        <w:t>纳入质量标准实验室</w:t>
      </w:r>
      <w:r>
        <w:rPr>
          <w:rFonts w:hint="eastAsia" w:ascii="Times New Roman" w:eastAsia="仿宋_GB2312" w:cs="仿宋_GB2312"/>
          <w:sz w:val="32"/>
          <w:szCs w:val="32"/>
          <w:lang w:val="en-US" w:eastAsia="zh-CN"/>
        </w:rPr>
        <w:t>筑基试点</w:t>
      </w:r>
      <w:r>
        <w:rPr>
          <w:rFonts w:hint="eastAsia" w:ascii="Times New Roman" w:hAnsi="Times New Roman" w:eastAsia="仿宋_GB2312" w:cs="仿宋_GB2312"/>
          <w:sz w:val="32"/>
          <w:szCs w:val="32"/>
          <w:lang w:val="en-US" w:eastAsia="zh-CN"/>
        </w:rPr>
        <w:t>培育</w:t>
      </w:r>
      <w:r>
        <w:rPr>
          <w:rFonts w:hint="eastAsia" w:ascii="Times New Roman" w:hAnsi="Times New Roman" w:eastAsia="仿宋_GB2312" w:cs="仿宋_GB2312"/>
          <w:sz w:val="32"/>
          <w:szCs w:val="32"/>
        </w:rPr>
        <w:t>。</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640" w:firstLineChars="200"/>
        <w:textAlignment w:val="auto"/>
        <w:rPr>
          <w:rFonts w:ascii="Times New Roman" w:hAnsi="Times New Roman" w:eastAsia="仿宋_GB2312" w:cs="仿宋_GB2312"/>
          <w:sz w:val="32"/>
          <w:szCs w:val="32"/>
        </w:rPr>
      </w:pPr>
    </w:p>
    <w:p>
      <w:p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br w:type="page"/>
      </w:r>
    </w:p>
    <w:p>
      <w:pPr>
        <w:pStyle w:val="2"/>
        <w:ind w:left="0" w:leftChars="0" w:firstLine="0" w:firstLineChars="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pStyle w:val="2"/>
        <w:ind w:left="0" w:leftChars="0" w:firstLine="0" w:firstLineChars="0"/>
        <w:jc w:val="left"/>
        <w:rPr>
          <w:rFonts w:hint="eastAsia" w:ascii="黑体" w:hAnsi="黑体" w:eastAsia="黑体" w:cs="黑体"/>
          <w:b w:val="0"/>
          <w:bCs w:val="0"/>
          <w:sz w:val="32"/>
          <w:szCs w:val="32"/>
          <w:lang w:val="en-US" w:eastAsia="zh-CN"/>
        </w:rPr>
      </w:pPr>
    </w:p>
    <w:p>
      <w:pPr>
        <w:widowControl/>
        <w:spacing w:line="560" w:lineRule="exact"/>
        <w:jc w:val="center"/>
        <w:outlineLvl w:val="0"/>
        <w:rPr>
          <w:rStyle w:val="14"/>
          <w:rFonts w:ascii="Times New Roman" w:hAnsi="Times New Roman" w:eastAsia="微软雅黑" w:cs="Times New Roman"/>
          <w:b w:val="0"/>
          <w:color w:val="000000"/>
          <w:sz w:val="44"/>
          <w:szCs w:val="36"/>
        </w:rPr>
      </w:pPr>
    </w:p>
    <w:p>
      <w:pPr>
        <w:widowControl/>
        <w:spacing w:line="560" w:lineRule="exact"/>
        <w:jc w:val="center"/>
        <w:outlineLvl w:val="0"/>
        <w:rPr>
          <w:rFonts w:hint="eastAsia" w:ascii="Times New Roman" w:hAnsi="Times New Roman" w:eastAsia="微软雅黑"/>
          <w:bCs/>
          <w:color w:val="000000"/>
          <w:sz w:val="44"/>
          <w:szCs w:val="36"/>
        </w:rPr>
      </w:pPr>
      <w:r>
        <w:rPr>
          <w:rStyle w:val="14"/>
          <w:rFonts w:hint="eastAsia" w:ascii="方正小标宋_GBK" w:hAnsi="方正小标宋_GBK" w:eastAsia="方正小标宋_GBK" w:cs="方正小标宋_GBK"/>
          <w:b w:val="0"/>
          <w:color w:val="000000"/>
          <w:sz w:val="44"/>
          <w:szCs w:val="36"/>
          <w:lang w:val="en-US" w:eastAsia="zh-CN"/>
        </w:rPr>
        <w:t>青岛市</w:t>
      </w:r>
      <w:r>
        <w:rPr>
          <w:rStyle w:val="14"/>
          <w:rFonts w:hint="eastAsia" w:ascii="方正小标宋_GBK" w:hAnsi="方正小标宋_GBK" w:eastAsia="方正小标宋_GBK" w:cs="方正小标宋_GBK"/>
          <w:b w:val="0"/>
          <w:color w:val="000000"/>
          <w:sz w:val="44"/>
          <w:szCs w:val="36"/>
        </w:rPr>
        <w:t>质量标准实验室申报材料（模板）</w:t>
      </w:r>
    </w:p>
    <w:p>
      <w:pPr>
        <w:snapToGrid w:val="0"/>
        <w:spacing w:line="360" w:lineRule="auto"/>
        <w:rPr>
          <w:rFonts w:ascii="Times New Roman" w:hAnsi="Times New Roman" w:eastAsia="方正仿宋简体"/>
          <w:color w:val="000000"/>
        </w:rPr>
      </w:pPr>
    </w:p>
    <w:p>
      <w:pPr>
        <w:snapToGrid w:val="0"/>
        <w:spacing w:line="360" w:lineRule="auto"/>
        <w:ind w:firstLine="641"/>
        <w:rPr>
          <w:rFonts w:hint="eastAsia" w:ascii="Times New Roman" w:hAnsi="Times New Roman" w:eastAsia="微软雅黑" w:cs="微软雅黑"/>
          <w:color w:val="000000"/>
          <w:sz w:val="32"/>
          <w:szCs w:val="32"/>
        </w:rPr>
      </w:pPr>
    </w:p>
    <w:p>
      <w:pPr>
        <w:snapToGrid w:val="0"/>
        <w:spacing w:line="360" w:lineRule="auto"/>
        <w:ind w:firstLine="64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实验室名称：</w:t>
      </w:r>
      <w:r>
        <w:rPr>
          <w:rFonts w:hint="eastAsia" w:ascii="仿宋_GB2312" w:hAnsi="仿宋_GB2312" w:eastAsia="仿宋_GB2312" w:cs="仿宋_GB2312"/>
          <w:color w:val="000000"/>
          <w:sz w:val="32"/>
          <w:szCs w:val="32"/>
          <w:u w:val="single"/>
        </w:rPr>
        <w:t xml:space="preserve">                                  </w:t>
      </w:r>
    </w:p>
    <w:p>
      <w:pPr>
        <w:snapToGrid w:val="0"/>
        <w:spacing w:line="360" w:lineRule="auto"/>
        <w:rPr>
          <w:rFonts w:hint="eastAsia" w:ascii="仿宋_GB2312" w:hAnsi="仿宋_GB2312" w:eastAsia="仿宋_GB2312" w:cs="仿宋_GB2312"/>
          <w:color w:val="000000"/>
          <w:sz w:val="32"/>
          <w:szCs w:val="32"/>
        </w:rPr>
      </w:pPr>
    </w:p>
    <w:p>
      <w:pPr>
        <w:snapToGrid w:val="0"/>
        <w:spacing w:line="360" w:lineRule="auto"/>
        <w:ind w:firstLine="641"/>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lang w:eastAsia="zh-CN"/>
        </w:rPr>
        <w:t>依托单位：</w:t>
      </w:r>
      <w:r>
        <w:rPr>
          <w:rFonts w:hint="eastAsia" w:ascii="仿宋_GB2312" w:hAnsi="仿宋_GB2312" w:eastAsia="仿宋_GB2312" w:cs="仿宋_GB2312"/>
          <w:color w:val="000000"/>
          <w:sz w:val="32"/>
          <w:szCs w:val="32"/>
          <w:u w:val="single"/>
        </w:rPr>
        <w:t xml:space="preserve">                                    </w:t>
      </w:r>
    </w:p>
    <w:p>
      <w:pPr>
        <w:snapToGrid w:val="0"/>
        <w:spacing w:line="360" w:lineRule="auto"/>
        <w:ind w:firstLine="641"/>
        <w:rPr>
          <w:rFonts w:hint="eastAsia" w:ascii="仿宋_GB2312" w:hAnsi="仿宋_GB2312" w:eastAsia="仿宋_GB2312" w:cs="仿宋_GB2312"/>
          <w:color w:val="000000"/>
          <w:sz w:val="32"/>
          <w:szCs w:val="32"/>
          <w:lang w:eastAsia="zh-CN"/>
        </w:rPr>
      </w:pPr>
    </w:p>
    <w:p>
      <w:pPr>
        <w:snapToGrid w:val="0"/>
        <w:spacing w:line="360" w:lineRule="auto"/>
        <w:ind w:firstLine="641"/>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lang w:eastAsia="zh-CN"/>
        </w:rPr>
        <w:t xml:space="preserve">联合共建单位（盖章）： </w:t>
      </w:r>
      <w:r>
        <w:rPr>
          <w:rFonts w:hint="eastAsia" w:ascii="仿宋_GB2312" w:hAnsi="仿宋_GB2312" w:eastAsia="仿宋_GB2312" w:cs="仿宋_GB2312"/>
          <w:color w:val="000000"/>
          <w:sz w:val="32"/>
          <w:szCs w:val="32"/>
          <w:u w:val="single"/>
        </w:rPr>
        <w:t xml:space="preserve">                       </w:t>
      </w:r>
    </w:p>
    <w:p>
      <w:pPr>
        <w:snapToGrid w:val="0"/>
        <w:spacing w:line="360" w:lineRule="auto"/>
        <w:ind w:firstLine="641"/>
        <w:rPr>
          <w:rFonts w:hint="eastAsia" w:ascii="仿宋_GB2312" w:hAnsi="仿宋_GB2312" w:eastAsia="仿宋_GB2312" w:cs="仿宋_GB2312"/>
          <w:color w:val="000000"/>
          <w:sz w:val="32"/>
          <w:szCs w:val="32"/>
          <w:lang w:eastAsia="zh-CN"/>
        </w:rPr>
      </w:pPr>
    </w:p>
    <w:p>
      <w:pPr>
        <w:snapToGrid w:val="0"/>
        <w:spacing w:line="360" w:lineRule="auto"/>
        <w:ind w:firstLine="641"/>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lang w:eastAsia="zh-CN"/>
        </w:rPr>
        <w:t>推荐单位：</w:t>
      </w:r>
      <w:r>
        <w:rPr>
          <w:rFonts w:hint="eastAsia" w:ascii="仿宋_GB2312" w:hAnsi="仿宋_GB2312" w:eastAsia="仿宋_GB2312" w:cs="仿宋_GB2312"/>
          <w:color w:val="000000"/>
          <w:sz w:val="32"/>
          <w:szCs w:val="32"/>
          <w:u w:val="single"/>
        </w:rPr>
        <w:t xml:space="preserve">                                     </w:t>
      </w:r>
    </w:p>
    <w:p>
      <w:pPr>
        <w:snapToGrid w:val="0"/>
        <w:spacing w:line="500" w:lineRule="exact"/>
        <w:rPr>
          <w:rFonts w:hint="eastAsia" w:ascii="仿宋_GB2312" w:hAnsi="仿宋_GB2312" w:eastAsia="仿宋_GB2312" w:cs="仿宋_GB2312"/>
          <w:color w:val="000000"/>
          <w:sz w:val="32"/>
          <w:szCs w:val="32"/>
        </w:rPr>
      </w:pPr>
    </w:p>
    <w:p>
      <w:pPr>
        <w:snapToGrid w:val="0"/>
        <w:spacing w:line="500" w:lineRule="exact"/>
        <w:ind w:firstLine="640" w:firstLineChars="200"/>
        <w:rPr>
          <w:rFonts w:hint="eastAsia" w:ascii="Times New Roman" w:hAnsi="Times New Roman" w:eastAsia="微软雅黑" w:cs="微软雅黑"/>
          <w:color w:val="000000"/>
          <w:sz w:val="32"/>
          <w:szCs w:val="32"/>
        </w:rPr>
      </w:pPr>
      <w:r>
        <w:rPr>
          <w:rFonts w:hint="eastAsia" w:ascii="仿宋_GB2312" w:hAnsi="仿宋_GB2312" w:eastAsia="仿宋_GB2312" w:cs="仿宋_GB2312"/>
          <w:color w:val="000000"/>
          <w:sz w:val="32"/>
          <w:szCs w:val="32"/>
          <w:lang w:eastAsia="zh-CN"/>
        </w:rPr>
        <w:t>填报时间：</w:t>
      </w:r>
      <w:r>
        <w:rPr>
          <w:rFonts w:hint="eastAsia" w:ascii="仿宋_GB2312" w:hAnsi="仿宋_GB2312" w:eastAsia="仿宋_GB2312" w:cs="仿宋_GB2312"/>
          <w:color w:val="000000"/>
          <w:sz w:val="32"/>
          <w:szCs w:val="32"/>
          <w:u w:val="single"/>
        </w:rPr>
        <w:t xml:space="preserve">                               </w:t>
      </w:r>
      <w:r>
        <w:rPr>
          <w:rFonts w:hint="eastAsia" w:ascii="Times New Roman" w:hAnsi="Times New Roman" w:eastAsia="微软雅黑" w:cs="微软雅黑"/>
          <w:color w:val="000000"/>
          <w:sz w:val="32"/>
          <w:szCs w:val="32"/>
          <w:u w:val="single"/>
        </w:rPr>
        <w:t xml:space="preserve">      </w:t>
      </w:r>
      <w:r>
        <w:rPr>
          <w:rFonts w:hint="eastAsia" w:ascii="Times New Roman" w:hAnsi="Times New Roman" w:eastAsia="微软雅黑" w:cs="微软雅黑"/>
          <w:color w:val="000000"/>
          <w:sz w:val="32"/>
          <w:szCs w:val="32"/>
        </w:rPr>
        <w:t xml:space="preserve">    </w:t>
      </w:r>
    </w:p>
    <w:p>
      <w:pPr>
        <w:snapToGrid w:val="0"/>
        <w:spacing w:line="500" w:lineRule="exact"/>
        <w:rPr>
          <w:rFonts w:hint="eastAsia" w:ascii="Times New Roman" w:hAnsi="Times New Roman" w:eastAsia="微软雅黑" w:cs="微软雅黑"/>
          <w:sz w:val="32"/>
          <w:szCs w:val="32"/>
        </w:rPr>
      </w:pPr>
      <w:r>
        <w:rPr>
          <w:rFonts w:hint="eastAsia" w:ascii="Times New Roman" w:hAnsi="Times New Roman" w:eastAsia="微软雅黑" w:cs="微软雅黑"/>
          <w:color w:val="000000"/>
          <w:sz w:val="32"/>
          <w:szCs w:val="32"/>
        </w:rPr>
        <w:t xml:space="preserve"> </w:t>
      </w:r>
    </w:p>
    <w:p>
      <w:pPr>
        <w:snapToGrid w:val="0"/>
        <w:spacing w:line="360" w:lineRule="auto"/>
        <w:ind w:firstLine="2896" w:firstLineChars="905"/>
        <w:rPr>
          <w:rFonts w:hint="eastAsia" w:ascii="Times New Roman" w:hAnsi="Times New Roman" w:eastAsia="方正仿宋简体"/>
          <w:color w:val="000000"/>
          <w:sz w:val="32"/>
          <w:szCs w:val="32"/>
          <w:lang w:val="en-US" w:eastAsia="zh-CN"/>
        </w:rPr>
      </w:pPr>
    </w:p>
    <w:p>
      <w:pPr>
        <w:snapToGrid w:val="0"/>
        <w:spacing w:line="360" w:lineRule="auto"/>
        <w:ind w:firstLine="2896" w:firstLineChars="905"/>
        <w:rPr>
          <w:rFonts w:hint="eastAsia" w:ascii="Times New Roman" w:hAnsi="Times New Roman" w:eastAsia="方正仿宋简体"/>
          <w:color w:val="000000"/>
          <w:sz w:val="32"/>
          <w:szCs w:val="32"/>
          <w:lang w:val="en-US" w:eastAsia="zh-CN"/>
        </w:rPr>
      </w:pPr>
    </w:p>
    <w:p>
      <w:pPr>
        <w:snapToGrid w:val="0"/>
        <w:spacing w:line="360" w:lineRule="auto"/>
        <w:ind w:firstLine="2896" w:firstLineChars="905"/>
        <w:rPr>
          <w:rFonts w:hint="eastAsia" w:ascii="Times New Roman" w:hAnsi="Times New Roman" w:eastAsia="方正仿宋简体"/>
          <w:color w:val="000000"/>
          <w:sz w:val="32"/>
          <w:szCs w:val="32"/>
          <w:lang w:val="en-US" w:eastAsia="zh-CN"/>
        </w:rPr>
      </w:pPr>
    </w:p>
    <w:p>
      <w:pPr>
        <w:snapToGrid w:val="0"/>
        <w:spacing w:line="360" w:lineRule="auto"/>
        <w:jc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青岛市</w:t>
      </w:r>
      <w:r>
        <w:rPr>
          <w:rFonts w:hint="eastAsia" w:ascii="仿宋_GB2312" w:hAnsi="仿宋_GB2312" w:eastAsia="仿宋_GB2312" w:cs="仿宋_GB2312"/>
          <w:color w:val="000000"/>
          <w:sz w:val="32"/>
          <w:szCs w:val="32"/>
          <w:lang w:eastAsia="zh-CN"/>
        </w:rPr>
        <w:t>市场监督管理局制</w:t>
      </w:r>
    </w:p>
    <w:p>
      <w:pPr>
        <w:snapToGrid w:val="0"/>
        <w:spacing w:line="360" w:lineRule="auto"/>
        <w:jc w:val="center"/>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二〇二六年</w:t>
      </w:r>
    </w:p>
    <w:p>
      <w:pPr>
        <w:pStyle w:val="2"/>
        <w:keepNext w:val="0"/>
        <w:keepLines w:val="0"/>
        <w:pageBreakBefore w:val="0"/>
        <w:widowControl/>
        <w:shd w:val="clear" w:color="auto" w:fill="auto"/>
        <w:kinsoku/>
        <w:wordWrap/>
        <w:overflowPunct/>
        <w:topLinePunct w:val="0"/>
        <w:autoSpaceDE/>
        <w:autoSpaceDN/>
        <w:bidi w:val="0"/>
        <w:adjustRightInd/>
        <w:snapToGrid/>
        <w:ind w:left="0" w:firstLine="640" w:firstLineChars="200"/>
        <w:jc w:val="both"/>
        <w:textAlignment w:val="baseline"/>
        <w:rPr>
          <w:rFonts w:hint="eastAsia" w:ascii="Times New Roman" w:hAnsi="Times New Roman" w:eastAsia="仿宋"/>
          <w:b w:val="0"/>
          <w:bCs w:val="0"/>
          <w:color w:val="000000"/>
          <w:sz w:val="32"/>
          <w:szCs w:val="32"/>
        </w:rPr>
      </w:pPr>
      <w:r>
        <w:rPr>
          <w:rFonts w:ascii="Times New Roman" w:hAnsi="Times New Roman" w:eastAsia="黑体"/>
          <w:b w:val="0"/>
          <w:bCs w:val="0"/>
          <w:sz w:val="32"/>
          <w:szCs w:val="32"/>
        </w:rPr>
        <w:t>一、基本信息</w:t>
      </w:r>
    </w:p>
    <w:tbl>
      <w:tblPr>
        <w:tblStyle w:val="11"/>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8"/>
        <w:gridCol w:w="1628"/>
        <w:gridCol w:w="1872"/>
        <w:gridCol w:w="2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00" w:type="dxa"/>
            <w:gridSpan w:val="4"/>
            <w:tcBorders>
              <w:top w:val="single" w:color="auto" w:sz="4" w:space="0"/>
            </w:tcBorders>
            <w:noWrap w:val="0"/>
            <w:vAlign w:val="center"/>
          </w:tcPr>
          <w:p>
            <w:pPr>
              <w:snapToGrid w:val="0"/>
              <w:rPr>
                <w:rFonts w:ascii="Times New Roman" w:hAnsi="Times New Roman" w:eastAsia="楷体_GB2312"/>
                <w:bCs/>
              </w:rPr>
            </w:pPr>
            <w:r>
              <w:rPr>
                <w:rFonts w:ascii="Times New Roman" w:hAnsi="Times New Roman" w:eastAsia="楷体_GB2312"/>
                <w:bCs/>
                <w:sz w:val="32"/>
                <w:szCs w:val="32"/>
              </w:rPr>
              <w:t>（一）实验室基本信息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实验室名称（中文）</w:t>
            </w:r>
          </w:p>
        </w:tc>
        <w:tc>
          <w:tcPr>
            <w:tcW w:w="6362" w:type="dxa"/>
            <w:gridSpan w:val="3"/>
            <w:noWrap w:val="0"/>
            <w:vAlign w:val="center"/>
          </w:tcPr>
          <w:p>
            <w:pPr>
              <w:snapToGrid w:val="0"/>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实验室名称（英文）</w:t>
            </w:r>
          </w:p>
        </w:tc>
        <w:tc>
          <w:tcPr>
            <w:tcW w:w="6362" w:type="dxa"/>
            <w:gridSpan w:val="3"/>
            <w:noWrap w:val="0"/>
            <w:vAlign w:val="center"/>
          </w:tcPr>
          <w:p>
            <w:pPr>
              <w:snapToGrid w:val="0"/>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所属行业</w:t>
            </w:r>
          </w:p>
        </w:tc>
        <w:tc>
          <w:tcPr>
            <w:tcW w:w="6362" w:type="dxa"/>
            <w:gridSpan w:val="3"/>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（参照国民经济行业分类标准确定）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研究领域</w:t>
            </w:r>
          </w:p>
        </w:tc>
        <w:tc>
          <w:tcPr>
            <w:tcW w:w="6362" w:type="dxa"/>
            <w:gridSpan w:val="3"/>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（请用文字描述，100字以内）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具体研究方向</w:t>
            </w:r>
          </w:p>
        </w:tc>
        <w:tc>
          <w:tcPr>
            <w:tcW w:w="6362" w:type="dxa"/>
            <w:gridSpan w:val="3"/>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（请用文字描述，100字以内）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00" w:type="dxa"/>
            <w:gridSpan w:val="4"/>
            <w:noWrap w:val="0"/>
            <w:vAlign w:val="center"/>
          </w:tcPr>
          <w:p>
            <w:pPr>
              <w:snapToGrid w:val="0"/>
              <w:rPr>
                <w:rFonts w:ascii="Times New Roman" w:hAnsi="Times New Roman"/>
              </w:rPr>
            </w:pPr>
            <w:r>
              <w:rPr>
                <w:rFonts w:ascii="Times New Roman" w:hAnsi="Times New Roman" w:eastAsia="楷体_GB2312"/>
                <w:bCs/>
                <w:sz w:val="32"/>
                <w:szCs w:val="32"/>
              </w:rPr>
              <w:t>（二）依托单位基本信息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单位名称</w:t>
            </w:r>
          </w:p>
        </w:tc>
        <w:tc>
          <w:tcPr>
            <w:tcW w:w="6362" w:type="dxa"/>
            <w:gridSpan w:val="3"/>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统一社会信用代码/组织机构代码</w:t>
            </w:r>
          </w:p>
        </w:tc>
        <w:tc>
          <w:tcPr>
            <w:tcW w:w="6362" w:type="dxa"/>
            <w:gridSpan w:val="3"/>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单位负责人</w:t>
            </w:r>
          </w:p>
        </w:tc>
        <w:tc>
          <w:tcPr>
            <w:tcW w:w="1628" w:type="dxa"/>
            <w:noWrap w:val="0"/>
            <w:vAlign w:val="center"/>
          </w:tcPr>
          <w:p>
            <w:pPr>
              <w:snapToGrid w:val="0"/>
              <w:jc w:val="center"/>
              <w:rPr>
                <w:rFonts w:hint="eastAsia" w:ascii="Times New Roman" w:hAnsi="Times New Roman" w:eastAsia="仿宋_GB2312" w:cs="仿宋_GB2312"/>
                <w:sz w:val="32"/>
                <w:szCs w:val="32"/>
              </w:rPr>
            </w:pPr>
          </w:p>
        </w:tc>
        <w:tc>
          <w:tcPr>
            <w:tcW w:w="1872"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职务/职称</w:t>
            </w:r>
          </w:p>
        </w:tc>
        <w:tc>
          <w:tcPr>
            <w:tcW w:w="2862" w:type="dxa"/>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联 系 人</w:t>
            </w:r>
          </w:p>
        </w:tc>
        <w:tc>
          <w:tcPr>
            <w:tcW w:w="1628" w:type="dxa"/>
            <w:noWrap w:val="0"/>
            <w:vAlign w:val="center"/>
          </w:tcPr>
          <w:p>
            <w:pPr>
              <w:snapToGrid w:val="0"/>
              <w:jc w:val="center"/>
              <w:rPr>
                <w:rFonts w:hint="eastAsia" w:ascii="Times New Roman" w:hAnsi="Times New Roman" w:eastAsia="仿宋_GB2312" w:cs="仿宋_GB2312"/>
                <w:sz w:val="32"/>
                <w:szCs w:val="32"/>
              </w:rPr>
            </w:pPr>
          </w:p>
        </w:tc>
        <w:tc>
          <w:tcPr>
            <w:tcW w:w="1872"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职务/职称</w:t>
            </w:r>
          </w:p>
        </w:tc>
        <w:tc>
          <w:tcPr>
            <w:tcW w:w="2862" w:type="dxa"/>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联系电话</w:t>
            </w:r>
          </w:p>
        </w:tc>
        <w:tc>
          <w:tcPr>
            <w:tcW w:w="1628" w:type="dxa"/>
            <w:noWrap w:val="0"/>
            <w:vAlign w:val="center"/>
          </w:tcPr>
          <w:p>
            <w:pPr>
              <w:snapToGrid w:val="0"/>
              <w:jc w:val="center"/>
              <w:rPr>
                <w:rFonts w:hint="eastAsia" w:ascii="Times New Roman" w:hAnsi="Times New Roman" w:eastAsia="仿宋_GB2312" w:cs="仿宋_GB2312"/>
                <w:sz w:val="32"/>
                <w:szCs w:val="32"/>
              </w:rPr>
            </w:pPr>
          </w:p>
        </w:tc>
        <w:tc>
          <w:tcPr>
            <w:tcW w:w="1872"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电子邮箱</w:t>
            </w:r>
          </w:p>
        </w:tc>
        <w:tc>
          <w:tcPr>
            <w:tcW w:w="2862" w:type="dxa"/>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邮    编</w:t>
            </w:r>
          </w:p>
        </w:tc>
        <w:tc>
          <w:tcPr>
            <w:tcW w:w="1628" w:type="dxa"/>
            <w:noWrap w:val="0"/>
            <w:vAlign w:val="center"/>
          </w:tcPr>
          <w:p>
            <w:pPr>
              <w:snapToGrid w:val="0"/>
              <w:jc w:val="center"/>
              <w:rPr>
                <w:rFonts w:hint="eastAsia" w:ascii="Times New Roman" w:hAnsi="Times New Roman" w:eastAsia="仿宋_GB2312" w:cs="仿宋_GB2312"/>
                <w:sz w:val="32"/>
                <w:szCs w:val="32"/>
              </w:rPr>
            </w:pPr>
          </w:p>
        </w:tc>
        <w:tc>
          <w:tcPr>
            <w:tcW w:w="1872"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通讯地址</w:t>
            </w:r>
          </w:p>
        </w:tc>
        <w:tc>
          <w:tcPr>
            <w:tcW w:w="2862" w:type="dxa"/>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200" w:type="dxa"/>
            <w:gridSpan w:val="4"/>
            <w:noWrap w:val="0"/>
            <w:vAlign w:val="center"/>
          </w:tcPr>
          <w:p>
            <w:pPr>
              <w:snapToGrid w:val="0"/>
              <w:rPr>
                <w:rFonts w:ascii="Times New Roman" w:hAnsi="Times New Roman"/>
              </w:rPr>
            </w:pPr>
            <w:r>
              <w:rPr>
                <w:rFonts w:ascii="Times New Roman" w:hAnsi="Times New Roman" w:eastAsia="楷体_GB2312"/>
                <w:bCs/>
                <w:sz w:val="32"/>
                <w:szCs w:val="32"/>
              </w:rPr>
              <w:t>（三）推荐单位基本信息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单位名称</w:t>
            </w:r>
          </w:p>
        </w:tc>
        <w:tc>
          <w:tcPr>
            <w:tcW w:w="6362" w:type="dxa"/>
            <w:gridSpan w:val="3"/>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联 系 人</w:t>
            </w:r>
          </w:p>
        </w:tc>
        <w:tc>
          <w:tcPr>
            <w:tcW w:w="1628" w:type="dxa"/>
            <w:noWrap w:val="0"/>
            <w:vAlign w:val="center"/>
          </w:tcPr>
          <w:p>
            <w:pPr>
              <w:snapToGrid w:val="0"/>
              <w:jc w:val="center"/>
              <w:rPr>
                <w:rFonts w:hint="eastAsia" w:ascii="Times New Roman" w:hAnsi="Times New Roman" w:eastAsia="仿宋_GB2312" w:cs="仿宋_GB2312"/>
                <w:sz w:val="32"/>
                <w:szCs w:val="32"/>
              </w:rPr>
            </w:pPr>
          </w:p>
        </w:tc>
        <w:tc>
          <w:tcPr>
            <w:tcW w:w="1872"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职务/职称</w:t>
            </w:r>
          </w:p>
        </w:tc>
        <w:tc>
          <w:tcPr>
            <w:tcW w:w="2862" w:type="dxa"/>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联系电话</w:t>
            </w:r>
          </w:p>
        </w:tc>
        <w:tc>
          <w:tcPr>
            <w:tcW w:w="1628" w:type="dxa"/>
            <w:noWrap w:val="0"/>
            <w:vAlign w:val="center"/>
          </w:tcPr>
          <w:p>
            <w:pPr>
              <w:snapToGrid w:val="0"/>
              <w:jc w:val="center"/>
              <w:rPr>
                <w:rFonts w:hint="eastAsia" w:ascii="Times New Roman" w:hAnsi="Times New Roman" w:eastAsia="仿宋_GB2312" w:cs="仿宋_GB2312"/>
                <w:sz w:val="32"/>
                <w:szCs w:val="32"/>
              </w:rPr>
            </w:pPr>
          </w:p>
        </w:tc>
        <w:tc>
          <w:tcPr>
            <w:tcW w:w="1872"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传真号码</w:t>
            </w:r>
          </w:p>
        </w:tc>
        <w:tc>
          <w:tcPr>
            <w:tcW w:w="2862" w:type="dxa"/>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邮    编</w:t>
            </w:r>
          </w:p>
        </w:tc>
        <w:tc>
          <w:tcPr>
            <w:tcW w:w="1628" w:type="dxa"/>
            <w:noWrap w:val="0"/>
            <w:vAlign w:val="center"/>
          </w:tcPr>
          <w:p>
            <w:pPr>
              <w:snapToGrid w:val="0"/>
              <w:jc w:val="center"/>
              <w:rPr>
                <w:rFonts w:hint="eastAsia" w:ascii="Times New Roman" w:hAnsi="Times New Roman" w:eastAsia="仿宋_GB2312" w:cs="仿宋_GB2312"/>
                <w:sz w:val="32"/>
                <w:szCs w:val="32"/>
              </w:rPr>
            </w:pPr>
          </w:p>
        </w:tc>
        <w:tc>
          <w:tcPr>
            <w:tcW w:w="1872"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电子邮箱</w:t>
            </w:r>
          </w:p>
        </w:tc>
        <w:tc>
          <w:tcPr>
            <w:tcW w:w="2862" w:type="dxa"/>
            <w:noWrap w:val="0"/>
            <w:vAlign w:val="center"/>
          </w:tcPr>
          <w:p>
            <w:pPr>
              <w:snapToGrid w:val="0"/>
              <w:jc w:val="center"/>
              <w:rPr>
                <w:rFonts w:hint="eastAsia" w:ascii="Times New Roman" w:hAnsi="Times New Roman"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838" w:type="dxa"/>
            <w:noWrap w:val="0"/>
            <w:vAlign w:val="center"/>
          </w:tcPr>
          <w:p>
            <w:pPr>
              <w:snapToGrid w:val="0"/>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通讯地址</w:t>
            </w:r>
          </w:p>
        </w:tc>
        <w:tc>
          <w:tcPr>
            <w:tcW w:w="6362" w:type="dxa"/>
            <w:gridSpan w:val="3"/>
            <w:noWrap w:val="0"/>
            <w:vAlign w:val="center"/>
          </w:tcPr>
          <w:p>
            <w:pPr>
              <w:snapToGrid w:val="0"/>
              <w:jc w:val="center"/>
              <w:rPr>
                <w:rFonts w:hint="eastAsia" w:ascii="Times New Roman" w:hAnsi="Times New Roman" w:eastAsia="仿宋_GB2312" w:cs="仿宋_GB2312"/>
                <w:sz w:val="32"/>
                <w:szCs w:val="32"/>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outlineLvl w:val="0"/>
        <w:rPr>
          <w:rFonts w:hint="eastAsia" w:ascii="Times New Roman" w:hAnsi="Times New Roman"/>
          <w:lang w:val="en-US" w:eastAsia="zh-CN"/>
        </w:rPr>
      </w:pPr>
      <w:r>
        <w:rPr>
          <w:rFonts w:hint="eastAsia" w:ascii="Times New Roman" w:hAnsi="Times New Roman" w:eastAsia="黑体" w:cs="Times New Roman"/>
          <w:b w:val="0"/>
          <w:bCs w:val="0"/>
          <w:kern w:val="2"/>
          <w:sz w:val="32"/>
          <w:szCs w:val="32"/>
          <w:lang w:val="en-US" w:eastAsia="zh-CN" w:bidi="ar-SA"/>
        </w:rPr>
        <w:t>二、建设实验室的目的、意义（2000字以内）</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0"/>
        <w:rPr>
          <w:rFonts w:hint="eastAsia" w:ascii="Times New Roman" w:hAnsi="Times New Roman" w:eastAsia="仿宋_GB2312" w:cs="仿宋_GB2312"/>
          <w:b w:val="0"/>
          <w:bCs w:val="0"/>
          <w:kern w:val="2"/>
          <w:sz w:val="32"/>
          <w:szCs w:val="32"/>
          <w:lang w:val="en-US" w:eastAsia="zh-CN" w:bidi="ar-SA"/>
        </w:rPr>
      </w:pPr>
      <w:r>
        <w:rPr>
          <w:rFonts w:hint="eastAsia" w:ascii="Times New Roman" w:hAnsi="Times New Roman" w:eastAsia="仿宋_GB2312" w:cs="仿宋_GB2312"/>
          <w:b w:val="0"/>
          <w:bCs w:val="0"/>
          <w:kern w:val="2"/>
          <w:sz w:val="32"/>
          <w:szCs w:val="32"/>
          <w:lang w:val="en-US" w:eastAsia="zh-CN" w:bidi="ar-SA"/>
        </w:rPr>
        <w:t>包括实验室作为质量标准实验室筑基试点培育后预期对国家、青岛市产业及依托单位的作用、贡献等。</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三、实验室研究方向、主要研究内容（</w:t>
      </w:r>
      <w:r>
        <w:rPr>
          <w:rFonts w:hint="eastAsia" w:ascii="Times New Roman" w:eastAsia="黑体" w:cs="Times New Roman"/>
          <w:b w:val="0"/>
          <w:bCs w:val="0"/>
          <w:kern w:val="2"/>
          <w:sz w:val="32"/>
          <w:szCs w:val="32"/>
          <w:lang w:val="en-US" w:eastAsia="zh-CN" w:bidi="ar-SA"/>
        </w:rPr>
        <w:t>3000</w:t>
      </w:r>
      <w:r>
        <w:rPr>
          <w:rFonts w:hint="eastAsia" w:ascii="Times New Roman" w:hAnsi="Times New Roman" w:eastAsia="黑体" w:cs="Times New Roman"/>
          <w:b w:val="0"/>
          <w:bCs w:val="0"/>
          <w:kern w:val="2"/>
          <w:sz w:val="32"/>
          <w:szCs w:val="32"/>
          <w:lang w:val="en-US" w:eastAsia="zh-CN" w:bidi="ar-SA"/>
        </w:rPr>
        <w:t>字以内）</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cs="仿宋_GB2312"/>
        </w:rPr>
      </w:pPr>
      <w:r>
        <w:rPr>
          <w:rFonts w:hint="eastAsia" w:ascii="Times New Roman" w:hAnsi="Times New Roman" w:eastAsia="仿宋_GB2312" w:cs="仿宋_GB2312"/>
          <w:color w:val="000000"/>
          <w:sz w:val="32"/>
          <w:szCs w:val="32"/>
          <w:lang w:val="en-US" w:eastAsia="zh-CN"/>
        </w:rPr>
        <w:t>参照</w:t>
      </w:r>
      <w:r>
        <w:rPr>
          <w:rFonts w:hint="eastAsia" w:ascii="Times New Roman" w:hAnsi="Times New Roman" w:eastAsia="仿宋_GB2312" w:cs="仿宋_GB2312"/>
          <w:color w:val="000000"/>
          <w:sz w:val="32"/>
          <w:szCs w:val="32"/>
        </w:rPr>
        <w:t>《国家质量标准实验室管理办法》《关于推进国家级质量标准实验室建设的指导意见》要求，</w:t>
      </w:r>
      <w:r>
        <w:rPr>
          <w:rFonts w:hint="eastAsia" w:ascii="Times New Roman" w:hAnsi="Times New Roman" w:eastAsia="仿宋_GB2312" w:cs="仿宋_GB2312"/>
          <w:color w:val="000000"/>
          <w:sz w:val="32"/>
          <w:szCs w:val="32"/>
          <w:lang w:val="en-US" w:eastAsia="zh-CN"/>
        </w:rPr>
        <w:t>根据</w:t>
      </w:r>
      <w:r>
        <w:rPr>
          <w:rFonts w:hint="eastAsia" w:ascii="Times New Roman" w:hAnsi="Times New Roman" w:eastAsia="仿宋_GB2312" w:cs="仿宋_GB2312"/>
          <w:color w:val="000000"/>
          <w:sz w:val="32"/>
          <w:szCs w:val="32"/>
        </w:rPr>
        <w:t>《关于开展</w:t>
      </w:r>
      <w:r>
        <w:rPr>
          <w:rFonts w:hint="eastAsia" w:ascii="Times New Roman" w:hAnsi="Times New Roman" w:eastAsia="仿宋_GB2312" w:cs="仿宋_GB2312"/>
          <w:color w:val="000000"/>
          <w:sz w:val="32"/>
          <w:szCs w:val="32"/>
          <w:lang w:eastAsia="zh-CN"/>
        </w:rPr>
        <w:t>青岛市</w:t>
      </w:r>
      <w:r>
        <w:rPr>
          <w:rFonts w:hint="eastAsia" w:ascii="Times New Roman" w:hAnsi="Times New Roman" w:eastAsia="仿宋_GB2312" w:cs="仿宋_GB2312"/>
          <w:color w:val="000000"/>
          <w:sz w:val="32"/>
          <w:szCs w:val="32"/>
        </w:rPr>
        <w:t>质量标准实验室筑基试点工作的通知》</w:t>
      </w:r>
      <w:r>
        <w:rPr>
          <w:rFonts w:hint="eastAsia" w:ascii="Times New Roman" w:hAnsi="Times New Roman" w:eastAsia="仿宋_GB2312" w:cs="仿宋_GB2312"/>
          <w:color w:val="000000"/>
          <w:sz w:val="32"/>
          <w:szCs w:val="32"/>
          <w:lang w:val="en-US" w:eastAsia="zh-CN"/>
        </w:rPr>
        <w:t>要求</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对研究方向和主要研究内容进行详细说明。</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四、国内外及省内外概况（2000字以内）</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ascii="Times New Roman" w:hAnsi="Times New Roman" w:cs="仿宋_GB2312"/>
        </w:rPr>
      </w:pPr>
      <w:r>
        <w:rPr>
          <w:rFonts w:hint="eastAsia" w:ascii="Times New Roman" w:hAnsi="Times New Roman" w:eastAsia="仿宋_GB2312" w:cs="仿宋_GB2312"/>
          <w:color w:val="000000"/>
          <w:sz w:val="32"/>
          <w:szCs w:val="32"/>
        </w:rPr>
        <w:t>国内外</w:t>
      </w:r>
      <w:r>
        <w:rPr>
          <w:rFonts w:hint="eastAsia" w:ascii="Times New Roman" w:hAnsi="Times New Roman" w:eastAsia="仿宋_GB2312" w:cs="仿宋_GB2312"/>
          <w:color w:val="000000"/>
          <w:sz w:val="32"/>
          <w:szCs w:val="32"/>
          <w:lang w:val="en-US" w:eastAsia="zh-CN"/>
        </w:rPr>
        <w:t>包括青岛市</w:t>
      </w:r>
      <w:r>
        <w:rPr>
          <w:rFonts w:hint="eastAsia" w:ascii="Times New Roman" w:hAnsi="Times New Roman" w:eastAsia="仿宋_GB2312" w:cs="仿宋_GB2312"/>
          <w:color w:val="000000"/>
          <w:sz w:val="32"/>
          <w:szCs w:val="32"/>
        </w:rPr>
        <w:t>该领域最新进展、发展趋势、技术瓶颈、应用前景。</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五、现有研究工作基础、水平等（</w:t>
      </w:r>
      <w:r>
        <w:rPr>
          <w:rFonts w:hint="eastAsia" w:ascii="Times New Roman" w:eastAsia="黑体" w:cs="Times New Roman"/>
          <w:b w:val="0"/>
          <w:bCs w:val="0"/>
          <w:kern w:val="2"/>
          <w:sz w:val="32"/>
          <w:szCs w:val="32"/>
          <w:lang w:val="en-US" w:eastAsia="zh-CN" w:bidi="ar-SA"/>
        </w:rPr>
        <w:t>4000</w:t>
      </w:r>
      <w:r>
        <w:rPr>
          <w:rFonts w:hint="eastAsia" w:ascii="Times New Roman" w:hAnsi="Times New Roman" w:eastAsia="黑体" w:cs="Times New Roman"/>
          <w:b w:val="0"/>
          <w:bCs w:val="0"/>
          <w:kern w:val="2"/>
          <w:sz w:val="32"/>
          <w:szCs w:val="32"/>
          <w:lang w:val="en-US" w:eastAsia="zh-CN" w:bidi="ar-SA"/>
        </w:rPr>
        <w:t>字以内）</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cs="仿宋_GB2312"/>
        </w:rPr>
      </w:pPr>
      <w:r>
        <w:rPr>
          <w:rFonts w:hint="eastAsia" w:ascii="Times New Roman" w:hAnsi="Times New Roman" w:eastAsia="仿宋_GB2312" w:cs="仿宋_GB2312"/>
          <w:color w:val="000000"/>
          <w:sz w:val="32"/>
          <w:szCs w:val="32"/>
        </w:rPr>
        <w:t>在国际、国内以及行业的影响及地位，对本领域质量发展现状、质量基础设施发展现状、行业发展未来需求、质量技术</w:t>
      </w:r>
      <w:r>
        <w:rPr>
          <w:rFonts w:hint="eastAsia" w:ascii="Times New Roman" w:hAnsi="Times New Roman" w:eastAsia="仿宋_GB2312" w:cs="仿宋_GB2312"/>
          <w:color w:val="000000"/>
          <w:sz w:val="32"/>
          <w:szCs w:val="32"/>
          <w:lang w:val="en-US" w:eastAsia="zh-CN"/>
        </w:rPr>
        <w:t>标准</w:t>
      </w:r>
      <w:r>
        <w:rPr>
          <w:rFonts w:hint="eastAsia" w:ascii="Times New Roman" w:hAnsi="Times New Roman" w:eastAsia="仿宋_GB2312" w:cs="仿宋_GB2312"/>
          <w:color w:val="000000"/>
          <w:sz w:val="32"/>
          <w:szCs w:val="32"/>
        </w:rPr>
        <w:t>瓶颈的研究情况；近五年承担的国家级</w:t>
      </w:r>
      <w:r>
        <w:rPr>
          <w:rFonts w:hint="eastAsia" w:ascii="Times New Roman" w:hAnsi="Times New Roman" w:eastAsia="仿宋_GB2312" w:cs="仿宋_GB2312"/>
          <w:color w:val="000000"/>
          <w:sz w:val="32"/>
          <w:szCs w:val="32"/>
          <w:lang w:val="en-US" w:eastAsia="zh-CN"/>
        </w:rPr>
        <w:t>和省市级</w:t>
      </w:r>
      <w:r>
        <w:rPr>
          <w:rFonts w:hint="eastAsia" w:ascii="Times New Roman" w:hAnsi="Times New Roman" w:eastAsia="仿宋_GB2312" w:cs="仿宋_GB2312"/>
          <w:color w:val="000000"/>
          <w:sz w:val="32"/>
          <w:szCs w:val="32"/>
        </w:rPr>
        <w:t>重大科研任务、代表性科研成果，如国际标准、国家标准、研制设备、实验检测方法、代表性论文、学术专著、发明专利、软著、白皮书、行业发展未来需求分析报告等；申报单位成果推广机制、示范及转化情况。</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六、现有科研队伍状况及人才培养能力（2000字以内）</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cs="仿宋_GB2312"/>
          <w:b w:val="0"/>
          <w:bCs w:val="0"/>
          <w:color w:val="000000"/>
          <w:szCs w:val="20"/>
        </w:rPr>
      </w:pPr>
      <w:r>
        <w:rPr>
          <w:rFonts w:hint="eastAsia" w:ascii="Times New Roman" w:hAnsi="Times New Roman" w:eastAsia="仿宋_GB2312" w:cs="仿宋_GB2312"/>
          <w:color w:val="000000"/>
          <w:sz w:val="32"/>
          <w:szCs w:val="32"/>
        </w:rPr>
        <w:t>队伍规模和结构的总体情况；现有学术带头人简介及其代表性成果，高水平人才培养、稳定和吸引优秀中青年人才措施</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包括在读研究生数量等</w:t>
      </w:r>
      <w:r>
        <w:rPr>
          <w:rFonts w:hint="eastAsia" w:ascii="Times New Roman" w:hAnsi="Times New Roman" w:eastAsia="仿宋_GB2312" w:cs="仿宋_GB2312"/>
          <w:color w:val="000000"/>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bCs/>
        </w:rPr>
      </w:pPr>
      <w:r>
        <w:rPr>
          <w:rFonts w:hint="eastAsia" w:ascii="Times New Roman" w:hAnsi="Times New Roman" w:eastAsia="黑体" w:cs="Times New Roman"/>
          <w:b w:val="0"/>
          <w:bCs w:val="0"/>
          <w:kern w:val="2"/>
          <w:sz w:val="32"/>
          <w:szCs w:val="32"/>
          <w:lang w:val="en-US" w:eastAsia="zh-CN" w:bidi="ar-SA"/>
        </w:rPr>
        <w:t>七、已具备的科研条件（2000字以内</w:t>
      </w:r>
      <w:r>
        <w:rPr>
          <w:rFonts w:hint="eastAsia" w:ascii="Times New Roman" w:hAnsi="Times New Roman" w:eastAsia="黑体"/>
          <w:bCs/>
        </w:rPr>
        <w:t>）</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color w:val="000000"/>
          <w:szCs w:val="20"/>
        </w:rPr>
      </w:pPr>
      <w:r>
        <w:rPr>
          <w:rFonts w:hint="eastAsia" w:ascii="Times New Roman" w:hAnsi="Times New Roman" w:eastAsia="仿宋_GB2312" w:cs="仿宋_GB2312"/>
          <w:color w:val="000000"/>
          <w:sz w:val="32"/>
          <w:szCs w:val="32"/>
        </w:rPr>
        <w:t>科研场地、仪器设备、配套设施等。</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八、运行管理机制与开放合作（2000字以内）</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cs="仿宋_GB2312"/>
          <w:color w:val="000000"/>
          <w:szCs w:val="20"/>
        </w:rPr>
      </w:pPr>
      <w:r>
        <w:rPr>
          <w:rFonts w:hint="eastAsia" w:ascii="Times New Roman" w:hAnsi="Times New Roman" w:eastAsia="仿宋_GB2312" w:cs="仿宋_GB2312"/>
          <w:color w:val="000000"/>
          <w:sz w:val="32"/>
          <w:szCs w:val="32"/>
        </w:rPr>
        <w:t>实验室运行机制</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包括实验室管理体系</w:t>
      </w:r>
      <w:r>
        <w:rPr>
          <w:rFonts w:hint="eastAsia" w:ascii="Times New Roman" w:hAnsi="Times New Roman" w:eastAsia="仿宋_GB2312" w:cs="仿宋_GB2312"/>
          <w:color w:val="000000"/>
          <w:sz w:val="32"/>
          <w:szCs w:val="32"/>
        </w:rPr>
        <w:t>；日常管理、人员聘用、仪器设备管理与使用，项目、经费等管理制度；实验室开放合作情况。</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九、各方面支持政策（3000字以内）</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包括依托单位、推荐单位的政策与配套经费支持等。</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十、主要建设规划、预期目标与水平（5000字以内）</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在分析本领域发展趋势和状况的基础上，结合实验室已有工作基础，充分利用各方面支持政策，确立实验室建设规划、近期主要研究内容和预期研究目标与水平。从研究内容、科研条件、人才队伍、运行管理与开放合作等方面重点阐述，明确实验室建设目标和技术发展路线，提出实验室预期创新成果，包括但不限于：制定领先的国际标准、国家标准</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包括国家标准物质/标准样品</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、行业标准</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包括计量/校准/检定规范</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、团体标准；检测方法、安全评估方法突破；计量/检测设备攻关“卡脖子”问题突破；质量政策、质量治理工具方法突破；实验室预期成果推广的社会价值或经济效益。</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十一、关于联合申报的说明</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楷体_GB2312" w:cs="楷体_GB2312"/>
          <w:color w:val="000000"/>
          <w:szCs w:val="20"/>
        </w:rPr>
      </w:pPr>
      <w:r>
        <w:rPr>
          <w:rFonts w:hint="eastAsia" w:ascii="Times New Roman" w:hAnsi="Times New Roman" w:eastAsia="仿宋_GB2312" w:cs="仿宋_GB2312"/>
          <w:color w:val="000000"/>
          <w:sz w:val="32"/>
          <w:szCs w:val="32"/>
        </w:rPr>
        <w:t>如果联合申报，请在此部分提供以下信息，包括但不限于：联合申报单位基本信息、专业能力和研究技术方向，以及在实验室建设中的职责分工等。</w:t>
      </w:r>
    </w:p>
    <w:p>
      <w:pPr>
        <w:keepNext w:val="0"/>
        <w:keepLines w:val="0"/>
        <w:pageBreakBefore w:val="0"/>
        <w:kinsoku/>
        <w:wordWrap/>
        <w:overflowPunct/>
        <w:topLinePunct w:val="0"/>
        <w:autoSpaceDE/>
        <w:autoSpaceDN/>
        <w:bidi w:val="0"/>
        <w:adjustRightInd/>
        <w:snapToGrid w:val="0"/>
        <w:spacing w:line="600" w:lineRule="exact"/>
        <w:ind w:firstLine="640" w:firstLineChars="200"/>
        <w:outlineLvl w:val="0"/>
        <w:rPr>
          <w:rFonts w:hint="eastAsia" w:ascii="Times New Roman" w:hAnsi="Times New Roman" w:eastAsia="黑体" w:cs="Times New Roman"/>
          <w:b w:val="0"/>
          <w:bCs w:val="0"/>
          <w:kern w:val="2"/>
          <w:sz w:val="32"/>
          <w:szCs w:val="32"/>
          <w:lang w:val="en-US" w:eastAsia="zh-CN" w:bidi="ar-SA"/>
        </w:rPr>
      </w:pPr>
      <w:r>
        <w:rPr>
          <w:rFonts w:hint="eastAsia" w:ascii="Times New Roman" w:hAnsi="Times New Roman" w:eastAsia="黑体" w:cs="Times New Roman"/>
          <w:b w:val="0"/>
          <w:bCs w:val="0"/>
          <w:kern w:val="2"/>
          <w:sz w:val="32"/>
          <w:szCs w:val="32"/>
          <w:lang w:val="en-US" w:eastAsia="zh-CN" w:bidi="ar-SA"/>
        </w:rPr>
        <w:t>十二、其它需要提供的说明材料</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包括但不限于：</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(一)实验室现有固定人员名单，列出姓名、性别、出生年月、职称、研究方向或专业等主要信息，研究人员、技术人员和辅助人员分别排列，其中研究人员按照研究单元排列；</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(二)主要科研仪器设备配备情况；</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(三)近5年来承担重大质量标准</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lang w:val="en-US" w:eastAsia="zh-CN"/>
        </w:rPr>
        <w:t>包括标准物质/标准样品</w:t>
      </w:r>
      <w:r>
        <w:rPr>
          <w:rFonts w:hint="eastAsia" w:ascii="Times New Roman" w:hAnsi="Times New Roman" w:eastAsia="仿宋_GB2312" w:cs="仿宋_GB2312"/>
          <w:color w:val="000000"/>
          <w:sz w:val="32"/>
          <w:szCs w:val="32"/>
          <w:lang w:eastAsia="zh-CN"/>
        </w:rPr>
        <w:t>）</w:t>
      </w:r>
      <w:r>
        <w:rPr>
          <w:rFonts w:hint="eastAsia" w:ascii="Times New Roman" w:hAnsi="Times New Roman" w:eastAsia="仿宋_GB2312" w:cs="仿宋_GB2312"/>
          <w:color w:val="000000"/>
          <w:sz w:val="32"/>
          <w:szCs w:val="32"/>
        </w:rPr>
        <w:t>项目情况；</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(四)近5年来获得重要获奖情况，标注完成单位和人员排序；</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(五)近5年来重要技术成果、标准成果、发明专利、专著、白皮书、行业发展未来需求分析报告等成果清单；</w:t>
      </w:r>
    </w:p>
    <w:p>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(六)依托单位对实验室建设提供人员、硬件、资金保障等方面的说明及承诺。</w:t>
      </w:r>
    </w:p>
    <w:p>
      <w:pPr>
        <w:pStyle w:val="2"/>
        <w:shd w:val="clear" w:color="auto" w:fill="auto"/>
        <w:ind w:left="0" w:leftChars="0" w:firstLine="420" w:firstLineChars="0"/>
        <w:jc w:val="left"/>
        <w:outlineLvl w:val="0"/>
        <w:rPr>
          <w:rFonts w:ascii="Times New Roman" w:hAnsi="Times New Roman"/>
          <w:b w:val="0"/>
          <w:bCs w:val="0"/>
          <w:szCs w:val="20"/>
        </w:rPr>
      </w:pPr>
      <w:r>
        <w:rPr>
          <w:rFonts w:hint="eastAsia" w:ascii="Times New Roman" w:hAnsi="Times New Roman" w:eastAsia="仿宋_GB2312" w:cs="仿宋_GB2312"/>
          <w:b w:val="0"/>
          <w:bCs w:val="0"/>
          <w:sz w:val="32"/>
          <w:szCs w:val="32"/>
        </w:rPr>
        <w:br w:type="page"/>
      </w:r>
      <w:r>
        <w:rPr>
          <w:rFonts w:hint="eastAsia" w:ascii="Times New Roman" w:hAnsi="Times New Roman" w:eastAsia="黑体" w:cs="Times New Roman"/>
          <w:b w:val="0"/>
          <w:bCs/>
          <w:kern w:val="2"/>
          <w:sz w:val="32"/>
          <w:szCs w:val="32"/>
          <w:lang w:val="en-US" w:eastAsia="zh-CN" w:bidi="ar-SA"/>
        </w:rPr>
        <w:t>十三、</w:t>
      </w:r>
      <w:r>
        <w:rPr>
          <w:rFonts w:hint="eastAsia" w:ascii="Times New Roman" w:hAnsi="Times New Roman" w:eastAsia="黑体"/>
          <w:b w:val="0"/>
          <w:bCs w:val="0"/>
          <w:sz w:val="32"/>
          <w:szCs w:val="32"/>
        </w:rPr>
        <w:t>申报意见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 w:hRule="atLeast"/>
          <w:jc w:val="center"/>
        </w:trPr>
        <w:tc>
          <w:tcPr>
            <w:tcW w:w="988" w:type="dxa"/>
            <w:noWrap w:val="0"/>
            <w:vAlign w:val="center"/>
          </w:tcPr>
          <w:p>
            <w:pPr>
              <w:shd w:val="clear" w:color="auto" w:fill="auto"/>
              <w:spacing w:line="594" w:lineRule="exact"/>
              <w:jc w:val="center"/>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依托单位意见</w:t>
            </w:r>
          </w:p>
        </w:tc>
        <w:tc>
          <w:tcPr>
            <w:tcW w:w="8186" w:type="dxa"/>
            <w:noWrap w:val="0"/>
            <w:vAlign w:val="top"/>
          </w:tcPr>
          <w:p>
            <w:pPr>
              <w:shd w:val="clear" w:color="auto" w:fill="auto"/>
              <w:spacing w:line="594" w:lineRule="exact"/>
              <w:rPr>
                <w:rFonts w:hint="eastAsia" w:ascii="Times New Roman" w:hAnsi="Times New Roman" w:eastAsia="仿宋_GB2312" w:cs="仿宋_GB2312"/>
                <w:bCs/>
                <w:sz w:val="32"/>
                <w:szCs w:val="32"/>
              </w:rPr>
            </w:pPr>
          </w:p>
          <w:p>
            <w:pPr>
              <w:shd w:val="clear" w:color="auto" w:fill="auto"/>
              <w:spacing w:line="594" w:lineRule="exact"/>
              <w:rPr>
                <w:rFonts w:hint="eastAsia" w:ascii="Times New Roman" w:hAnsi="Times New Roman" w:eastAsia="仿宋_GB2312" w:cs="仿宋_GB2312"/>
                <w:bCs/>
                <w:sz w:val="32"/>
                <w:szCs w:val="32"/>
              </w:rPr>
            </w:pPr>
          </w:p>
          <w:p>
            <w:pPr>
              <w:shd w:val="clear" w:color="auto" w:fill="auto"/>
              <w:spacing w:line="594" w:lineRule="exact"/>
              <w:rPr>
                <w:rFonts w:hint="eastAsia" w:ascii="Times New Roman" w:hAnsi="Times New Roman" w:eastAsia="仿宋_GB2312" w:cs="仿宋_GB2312"/>
                <w:bCs/>
                <w:sz w:val="32"/>
                <w:szCs w:val="32"/>
              </w:rPr>
            </w:pPr>
          </w:p>
          <w:p>
            <w:pPr>
              <w:shd w:val="clear" w:color="auto" w:fill="auto"/>
              <w:spacing w:line="594" w:lineRule="exact"/>
              <w:rPr>
                <w:rFonts w:hint="eastAsia" w:ascii="Times New Roman" w:hAnsi="Times New Roman" w:eastAsia="仿宋_GB2312" w:cs="仿宋_GB2312"/>
                <w:bCs/>
                <w:sz w:val="32"/>
                <w:szCs w:val="32"/>
              </w:rPr>
            </w:pPr>
          </w:p>
          <w:p>
            <w:pPr>
              <w:shd w:val="clear" w:color="auto" w:fill="auto"/>
              <w:spacing w:line="594" w:lineRule="exact"/>
              <w:rPr>
                <w:rFonts w:hint="eastAsia" w:ascii="Times New Roman" w:hAnsi="Times New Roman" w:eastAsia="仿宋_GB2312" w:cs="仿宋_GB2312"/>
                <w:bCs/>
                <w:sz w:val="32"/>
                <w:szCs w:val="32"/>
              </w:rPr>
            </w:pPr>
          </w:p>
          <w:p>
            <w:pPr>
              <w:shd w:val="clear" w:color="auto" w:fill="auto"/>
              <w:spacing w:line="594" w:lineRule="exact"/>
              <w:rPr>
                <w:rFonts w:hint="eastAsia" w:ascii="Times New Roman" w:hAnsi="Times New Roman" w:eastAsia="仿宋_GB2312" w:cs="仿宋_GB2312"/>
                <w:bCs/>
                <w:sz w:val="32"/>
                <w:szCs w:val="32"/>
              </w:rPr>
            </w:pPr>
          </w:p>
          <w:p>
            <w:pPr>
              <w:shd w:val="clear" w:color="auto" w:fill="auto"/>
              <w:spacing w:line="594" w:lineRule="exact"/>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 xml:space="preserve">                        单位（公章）</w:t>
            </w:r>
          </w:p>
          <w:p>
            <w:pPr>
              <w:shd w:val="clear" w:color="auto" w:fill="auto"/>
              <w:spacing w:line="594" w:lineRule="exact"/>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 xml:space="preserve">                       负责人（签字）：</w:t>
            </w:r>
          </w:p>
          <w:p>
            <w:pPr>
              <w:shd w:val="clear" w:color="auto" w:fill="auto"/>
              <w:spacing w:line="594" w:lineRule="exact"/>
              <w:ind w:firstLine="3840" w:firstLineChars="12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jc w:val="center"/>
        </w:trPr>
        <w:tc>
          <w:tcPr>
            <w:tcW w:w="988" w:type="dxa"/>
            <w:noWrap w:val="0"/>
            <w:vAlign w:val="center"/>
          </w:tcPr>
          <w:p>
            <w:pPr>
              <w:spacing w:line="594" w:lineRule="exact"/>
              <w:jc w:val="center"/>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推荐单位意见</w:t>
            </w:r>
          </w:p>
        </w:tc>
        <w:tc>
          <w:tcPr>
            <w:tcW w:w="8186" w:type="dxa"/>
            <w:noWrap w:val="0"/>
            <w:vAlign w:val="top"/>
          </w:tcPr>
          <w:p>
            <w:pPr>
              <w:spacing w:line="594" w:lineRule="exact"/>
              <w:rPr>
                <w:rFonts w:hint="eastAsia" w:ascii="Times New Roman" w:hAnsi="Times New Roman" w:eastAsia="仿宋_GB2312" w:cs="仿宋_GB2312"/>
                <w:bCs/>
                <w:sz w:val="32"/>
                <w:szCs w:val="32"/>
              </w:rPr>
            </w:pPr>
          </w:p>
          <w:p>
            <w:pPr>
              <w:spacing w:line="594" w:lineRule="exact"/>
              <w:rPr>
                <w:rFonts w:hint="eastAsia" w:ascii="Times New Roman" w:hAnsi="Times New Roman" w:eastAsia="仿宋_GB2312" w:cs="仿宋_GB2312"/>
                <w:bCs/>
                <w:sz w:val="32"/>
                <w:szCs w:val="32"/>
              </w:rPr>
            </w:pPr>
          </w:p>
          <w:p>
            <w:pPr>
              <w:spacing w:line="594" w:lineRule="exact"/>
              <w:rPr>
                <w:rFonts w:hint="eastAsia" w:ascii="Times New Roman" w:hAnsi="Times New Roman" w:eastAsia="仿宋_GB2312" w:cs="仿宋_GB2312"/>
                <w:bCs/>
                <w:sz w:val="32"/>
                <w:szCs w:val="32"/>
              </w:rPr>
            </w:pPr>
          </w:p>
          <w:p>
            <w:pPr>
              <w:spacing w:line="594" w:lineRule="exact"/>
              <w:rPr>
                <w:rFonts w:hint="eastAsia" w:ascii="Times New Roman" w:hAnsi="Times New Roman" w:eastAsia="仿宋_GB2312" w:cs="仿宋_GB2312"/>
                <w:bCs/>
                <w:sz w:val="32"/>
                <w:szCs w:val="32"/>
              </w:rPr>
            </w:pPr>
          </w:p>
          <w:p>
            <w:pPr>
              <w:spacing w:line="594" w:lineRule="exact"/>
              <w:rPr>
                <w:rFonts w:hint="eastAsia" w:ascii="Times New Roman" w:hAnsi="Times New Roman" w:eastAsia="仿宋_GB2312" w:cs="仿宋_GB2312"/>
                <w:bCs/>
                <w:sz w:val="32"/>
                <w:szCs w:val="32"/>
              </w:rPr>
            </w:pPr>
          </w:p>
          <w:p>
            <w:pPr>
              <w:spacing w:line="594" w:lineRule="exact"/>
              <w:rPr>
                <w:rFonts w:hint="eastAsia" w:ascii="Times New Roman" w:hAnsi="Times New Roman" w:eastAsia="仿宋_GB2312" w:cs="仿宋_GB2312"/>
                <w:bCs/>
                <w:sz w:val="32"/>
                <w:szCs w:val="32"/>
              </w:rPr>
            </w:pPr>
          </w:p>
          <w:p>
            <w:pPr>
              <w:spacing w:line="594" w:lineRule="exact"/>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 xml:space="preserve">                         单位（公章）</w:t>
            </w:r>
          </w:p>
          <w:p>
            <w:pPr>
              <w:spacing w:line="594" w:lineRule="exact"/>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 xml:space="preserve">                        负责人（签字）：</w:t>
            </w:r>
          </w:p>
          <w:p>
            <w:pPr>
              <w:spacing w:line="594" w:lineRule="exact"/>
              <w:ind w:firstLine="4160" w:firstLineChars="1300"/>
              <w:rPr>
                <w:rFonts w:hint="eastAsia" w:ascii="Times New Roman" w:hAnsi="Times New Roman" w:eastAsia="仿宋_GB2312" w:cs="仿宋_GB2312"/>
                <w:bCs/>
                <w:sz w:val="32"/>
                <w:szCs w:val="32"/>
              </w:rPr>
            </w:pPr>
            <w:r>
              <w:rPr>
                <w:rFonts w:hint="eastAsia" w:ascii="Times New Roman" w:hAnsi="Times New Roman" w:eastAsia="仿宋_GB2312" w:cs="仿宋_GB2312"/>
                <w:bCs/>
                <w:sz w:val="32"/>
                <w:szCs w:val="32"/>
              </w:rPr>
              <w:t>年   月   日</w:t>
            </w:r>
          </w:p>
        </w:tc>
      </w:tr>
    </w:tbl>
    <w:p>
      <w:pPr>
        <w:rPr>
          <w:rFonts w:hint="eastAsia" w:eastAsia="黑体" w:cs="黑体"/>
          <w:sz w:val="32"/>
          <w:szCs w:val="32"/>
        </w:rPr>
        <w:sectPr>
          <w:headerReference r:id="rId3" w:type="default"/>
          <w:footerReference r:id="rId4" w:type="default"/>
          <w:pgSz w:w="11906" w:h="16838"/>
          <w:pgMar w:top="2098" w:right="1474" w:bottom="1984" w:left="1587" w:header="851" w:footer="992" w:gutter="0"/>
          <w:pgNumType w:fmt="numberInDash"/>
          <w:cols w:space="0" w:num="1"/>
          <w:rtlGutter w:val="0"/>
          <w:docGrid w:type="lines" w:linePitch="312" w:charSpace="0"/>
        </w:sectPr>
      </w:pPr>
      <w:r>
        <w:rPr>
          <w:rFonts w:hint="eastAsia" w:eastAsia="黑体" w:cs="黑体"/>
          <w:sz w:val="32"/>
          <w:szCs w:val="32"/>
        </w:rPr>
        <w:br w:type="page"/>
      </w:r>
    </w:p>
    <w:p>
      <w:pPr>
        <w:pStyle w:val="2"/>
        <w:ind w:left="0" w:leftChars="0" w:firstLine="0" w:firstLineChars="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pPr>
        <w:pStyle w:val="2"/>
        <w:ind w:left="0" w:leftChars="0" w:firstLine="0" w:firstLineChars="0"/>
        <w:jc w:val="center"/>
        <w:rPr>
          <w:rStyle w:val="14"/>
          <w:rFonts w:hint="eastAsia" w:ascii="方正小标宋_GBK" w:hAnsi="方正小标宋_GBK" w:eastAsia="方正小标宋_GBK" w:cs="方正小标宋_GBK"/>
          <w:b w:val="0"/>
          <w:bCs/>
          <w:color w:val="000000"/>
          <w:sz w:val="44"/>
          <w:szCs w:val="36"/>
        </w:rPr>
      </w:pPr>
      <w:r>
        <w:rPr>
          <w:rStyle w:val="14"/>
          <w:rFonts w:hint="eastAsia" w:ascii="方正小标宋_GBK" w:hAnsi="方正小标宋_GBK" w:eastAsia="方正小标宋_GBK" w:cs="方正小标宋_GBK"/>
          <w:b w:val="0"/>
          <w:bCs/>
          <w:color w:val="000000"/>
          <w:sz w:val="44"/>
          <w:szCs w:val="36"/>
        </w:rPr>
        <w:t>青岛市质量标准实验室</w:t>
      </w:r>
      <w:r>
        <w:rPr>
          <w:rStyle w:val="14"/>
          <w:rFonts w:hint="eastAsia" w:ascii="方正小标宋_GBK" w:hAnsi="方正小标宋_GBK" w:eastAsia="方正小标宋_GBK" w:cs="方正小标宋_GBK"/>
          <w:b w:val="0"/>
          <w:bCs/>
          <w:color w:val="000000"/>
          <w:sz w:val="44"/>
          <w:szCs w:val="36"/>
          <w:lang w:val="en-US" w:eastAsia="zh-CN"/>
        </w:rPr>
        <w:t>筑基试点申报</w:t>
      </w:r>
      <w:r>
        <w:rPr>
          <w:rStyle w:val="14"/>
          <w:rFonts w:hint="eastAsia" w:ascii="方正小标宋_GBK" w:hAnsi="方正小标宋_GBK" w:eastAsia="方正小标宋_GBK" w:cs="方正小标宋_GBK"/>
          <w:b w:val="0"/>
          <w:bCs/>
          <w:color w:val="000000"/>
          <w:sz w:val="44"/>
          <w:szCs w:val="36"/>
        </w:rPr>
        <w:t>汇总情况表</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jc w:val="left"/>
        <w:textAlignment w:val="baseline"/>
        <w:rPr>
          <w:rStyle w:val="14"/>
          <w:rFonts w:hint="default" w:ascii="仿宋_GB2312" w:hAnsi="仿宋_GB2312" w:eastAsia="仿宋_GB2312" w:cs="仿宋_GB2312"/>
          <w:b w:val="0"/>
          <w:bCs/>
          <w:color w:val="000000"/>
          <w:sz w:val="32"/>
          <w:szCs w:val="24"/>
          <w:lang w:val="en-US" w:eastAsia="zh-CN"/>
        </w:rPr>
      </w:pPr>
      <w:r>
        <w:rPr>
          <w:rStyle w:val="14"/>
          <w:rFonts w:hint="eastAsia" w:ascii="仿宋_GB2312" w:hAnsi="仿宋_GB2312" w:eastAsia="仿宋_GB2312" w:cs="仿宋_GB2312"/>
          <w:b w:val="0"/>
          <w:bCs/>
          <w:color w:val="000000"/>
          <w:sz w:val="32"/>
          <w:szCs w:val="24"/>
          <w:lang w:eastAsia="zh-CN"/>
        </w:rPr>
        <w:t>推荐单位：</w:t>
      </w:r>
    </w:p>
    <w:tbl>
      <w:tblPr>
        <w:tblStyle w:val="12"/>
        <w:tblW w:w="13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775"/>
        <w:gridCol w:w="1441"/>
        <w:gridCol w:w="1441"/>
        <w:gridCol w:w="1441"/>
        <w:gridCol w:w="1618"/>
        <w:gridCol w:w="1546"/>
        <w:gridCol w:w="1489"/>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both"/>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序号</w:t>
            </w:r>
          </w:p>
        </w:tc>
        <w:tc>
          <w:tcPr>
            <w:tcW w:w="1775"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left"/>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实验室名称</w:t>
            </w:r>
          </w:p>
        </w:tc>
        <w:tc>
          <w:tcPr>
            <w:tcW w:w="1441"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center"/>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建设单位</w:t>
            </w:r>
          </w:p>
        </w:tc>
        <w:tc>
          <w:tcPr>
            <w:tcW w:w="1441"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center"/>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联合单位</w:t>
            </w:r>
          </w:p>
        </w:tc>
        <w:tc>
          <w:tcPr>
            <w:tcW w:w="1441"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left"/>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研究方向</w:t>
            </w:r>
          </w:p>
        </w:tc>
        <w:tc>
          <w:tcPr>
            <w:tcW w:w="1618"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left"/>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支撑产业链</w:t>
            </w:r>
          </w:p>
        </w:tc>
        <w:tc>
          <w:tcPr>
            <w:tcW w:w="1546"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left"/>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硬件基础</w:t>
            </w:r>
          </w:p>
        </w:tc>
        <w:tc>
          <w:tcPr>
            <w:tcW w:w="1489"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left"/>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创新成果科研产出</w:t>
            </w:r>
          </w:p>
        </w:tc>
        <w:tc>
          <w:tcPr>
            <w:tcW w:w="1507" w:type="dxa"/>
            <w:vAlign w:val="top"/>
          </w:tcPr>
          <w:p>
            <w:pPr>
              <w:pStyle w:val="2"/>
              <w:keepNext w:val="0"/>
              <w:keepLines w:val="0"/>
              <w:pageBreakBefore w:val="0"/>
              <w:widowControl/>
              <w:shd w:val="clear"/>
              <w:kinsoku/>
              <w:wordWrap/>
              <w:overflowPunct/>
              <w:topLinePunct w:val="0"/>
              <w:autoSpaceDE/>
              <w:autoSpaceDN/>
              <w:bidi w:val="0"/>
              <w:adjustRightInd/>
              <w:snapToGrid/>
              <w:spacing w:line="560" w:lineRule="exact"/>
              <w:ind w:left="0" w:leftChars="0" w:firstLine="0" w:firstLineChars="0"/>
              <w:jc w:val="left"/>
              <w:textAlignment w:val="baseline"/>
              <w:rPr>
                <w:rStyle w:val="14"/>
                <w:rFonts w:hint="eastAsia" w:ascii="黑体" w:hAnsi="黑体" w:eastAsia="黑体" w:cs="黑体"/>
                <w:b w:val="0"/>
                <w:bCs/>
                <w:color w:val="000000"/>
                <w:sz w:val="28"/>
                <w:szCs w:val="28"/>
                <w:vertAlign w:val="baseline"/>
                <w:lang w:eastAsia="zh-CN"/>
              </w:rPr>
            </w:pPr>
            <w:r>
              <w:rPr>
                <w:rStyle w:val="14"/>
                <w:rFonts w:hint="eastAsia" w:ascii="黑体" w:hAnsi="黑体" w:eastAsia="黑体" w:cs="黑体"/>
                <w:b w:val="0"/>
                <w:bCs/>
                <w:color w:val="000000"/>
                <w:sz w:val="28"/>
                <w:szCs w:val="28"/>
                <w:vertAlign w:val="baseline"/>
                <w:lang w:eastAsia="zh-CN"/>
              </w:rPr>
              <w:t>人才队伍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Pr>
          <w:p>
            <w:pPr>
              <w:pStyle w:val="2"/>
              <w:shd w:val="clear"/>
              <w:ind w:left="0" w:leftChars="0" w:firstLine="0" w:firstLineChars="0"/>
              <w:jc w:val="center"/>
              <w:rPr>
                <w:rStyle w:val="14"/>
                <w:rFonts w:hint="default" w:ascii="仿宋_GB2312" w:hAnsi="仿宋_GB2312" w:eastAsia="仿宋_GB2312" w:cs="仿宋_GB2312"/>
                <w:b w:val="0"/>
                <w:bCs/>
                <w:color w:val="000000"/>
                <w:sz w:val="32"/>
                <w:szCs w:val="24"/>
                <w:vertAlign w:val="baseline"/>
                <w:lang w:val="en-US" w:eastAsia="zh-CN"/>
              </w:rPr>
            </w:pPr>
            <w:r>
              <w:rPr>
                <w:rStyle w:val="14"/>
                <w:rFonts w:hint="eastAsia" w:ascii="仿宋_GB2312" w:hAnsi="仿宋_GB2312" w:eastAsia="仿宋_GB2312" w:cs="仿宋_GB2312"/>
                <w:b w:val="0"/>
                <w:bCs/>
                <w:color w:val="000000"/>
                <w:sz w:val="32"/>
                <w:szCs w:val="24"/>
                <w:vertAlign w:val="baseline"/>
                <w:lang w:val="en-US" w:eastAsia="zh-CN"/>
              </w:rPr>
              <w:t>1</w:t>
            </w:r>
          </w:p>
        </w:tc>
        <w:tc>
          <w:tcPr>
            <w:tcW w:w="1775"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618"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546"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89"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507"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Pr>
          <w:p>
            <w:pPr>
              <w:pStyle w:val="2"/>
              <w:shd w:val="clear"/>
              <w:ind w:left="0" w:leftChars="0" w:firstLine="0" w:firstLineChars="0"/>
              <w:jc w:val="center"/>
              <w:rPr>
                <w:rStyle w:val="14"/>
                <w:rFonts w:hint="eastAsia" w:ascii="仿宋_GB2312" w:hAnsi="仿宋_GB2312" w:eastAsia="仿宋_GB2312" w:cs="仿宋_GB2312"/>
                <w:b w:val="0"/>
                <w:bCs/>
                <w:color w:val="000000"/>
                <w:sz w:val="32"/>
                <w:szCs w:val="24"/>
                <w:vertAlign w:val="baseline"/>
                <w:lang w:val="en-US" w:eastAsia="zh-CN"/>
              </w:rPr>
            </w:pPr>
            <w:r>
              <w:rPr>
                <w:rStyle w:val="14"/>
                <w:rFonts w:hint="eastAsia" w:ascii="仿宋_GB2312" w:hAnsi="仿宋_GB2312" w:eastAsia="仿宋_GB2312" w:cs="仿宋_GB2312"/>
                <w:b w:val="0"/>
                <w:bCs/>
                <w:color w:val="000000"/>
                <w:sz w:val="32"/>
                <w:szCs w:val="24"/>
                <w:vertAlign w:val="baseline"/>
                <w:lang w:val="en-US" w:eastAsia="zh-CN"/>
              </w:rPr>
              <w:t>2</w:t>
            </w:r>
          </w:p>
        </w:tc>
        <w:tc>
          <w:tcPr>
            <w:tcW w:w="1775"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618"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546"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89"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507"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Pr>
          <w:p>
            <w:pPr>
              <w:pStyle w:val="2"/>
              <w:shd w:val="clear"/>
              <w:ind w:left="0" w:leftChars="0" w:firstLine="0" w:firstLineChars="0"/>
              <w:jc w:val="center"/>
              <w:rPr>
                <w:rStyle w:val="14"/>
                <w:rFonts w:hint="default" w:ascii="仿宋_GB2312" w:hAnsi="仿宋_GB2312" w:eastAsia="仿宋_GB2312" w:cs="仿宋_GB2312"/>
                <w:b w:val="0"/>
                <w:bCs/>
                <w:color w:val="000000"/>
                <w:sz w:val="32"/>
                <w:szCs w:val="24"/>
                <w:vertAlign w:val="baseline"/>
                <w:lang w:val="en-US" w:eastAsia="zh-CN"/>
              </w:rPr>
            </w:pPr>
            <w:r>
              <w:rPr>
                <w:rStyle w:val="14"/>
                <w:rFonts w:hint="eastAsia" w:ascii="仿宋_GB2312" w:hAnsi="仿宋_GB2312" w:eastAsia="仿宋_GB2312" w:cs="仿宋_GB2312"/>
                <w:b w:val="0"/>
                <w:bCs/>
                <w:color w:val="000000"/>
                <w:sz w:val="32"/>
                <w:szCs w:val="24"/>
                <w:vertAlign w:val="baseline"/>
                <w:lang w:val="en-US" w:eastAsia="zh-CN"/>
              </w:rPr>
              <w:t>...</w:t>
            </w:r>
          </w:p>
        </w:tc>
        <w:tc>
          <w:tcPr>
            <w:tcW w:w="1775"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41"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618"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546"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489"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c>
          <w:tcPr>
            <w:tcW w:w="1507" w:type="dxa"/>
          </w:tcPr>
          <w:p>
            <w:pPr>
              <w:pStyle w:val="2"/>
              <w:shd w:val="clear"/>
              <w:jc w:val="left"/>
              <w:rPr>
                <w:rStyle w:val="14"/>
                <w:rFonts w:hint="eastAsia" w:ascii="仿宋_GB2312" w:hAnsi="仿宋_GB2312" w:eastAsia="仿宋_GB2312" w:cs="仿宋_GB2312"/>
                <w:b w:val="0"/>
                <w:bCs/>
                <w:color w:val="000000"/>
                <w:sz w:val="32"/>
                <w:szCs w:val="24"/>
                <w:vertAlign w:val="baseline"/>
              </w:rPr>
            </w:pPr>
          </w:p>
        </w:tc>
      </w:tr>
    </w:tbl>
    <w:p>
      <w:pPr>
        <w:pStyle w:val="2"/>
        <w:ind w:left="0" w:leftChars="0" w:firstLine="0" w:firstLineChars="0"/>
        <w:jc w:val="left"/>
        <w:rPr>
          <w:rFonts w:hint="default" w:ascii="黑体" w:hAnsi="黑体" w:eastAsia="黑体" w:cs="黑体"/>
          <w:b w:val="0"/>
          <w:bCs w:val="0"/>
          <w:sz w:val="32"/>
          <w:szCs w:val="32"/>
          <w:lang w:val="en-US" w:eastAsia="zh-CN"/>
        </w:rPr>
        <w:sectPr>
          <w:pgSz w:w="16838" w:h="11906" w:orient="landscape"/>
          <w:pgMar w:top="1587" w:right="2098" w:bottom="1474" w:left="1984" w:header="851" w:footer="992" w:gutter="0"/>
          <w:pgNumType w:fmt="numberInDash"/>
          <w:cols w:space="0" w:num="1"/>
          <w:rtlGutter w:val="0"/>
          <w:docGrid w:type="lines" w:linePitch="312" w:charSpace="0"/>
        </w:sectPr>
      </w:pPr>
    </w:p>
    <w:p>
      <w:pPr>
        <w:pStyle w:val="2"/>
        <w:ind w:left="0" w:leftChars="0" w:firstLine="0" w:firstLineChars="0"/>
        <w:jc w:val="left"/>
        <w:rPr>
          <w:rFonts w:hint="eastAsia" w:ascii="黑体" w:hAnsi="黑体" w:eastAsia="黑体" w:cs="黑体"/>
          <w:b w:val="0"/>
          <w:bCs w:val="0"/>
          <w:sz w:val="32"/>
          <w:szCs w:val="32"/>
          <w:lang w:val="en-US" w:eastAsia="zh-CN"/>
        </w:rPr>
      </w:pPr>
    </w:p>
    <w:sectPr>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AAF916-6F48-4459-B5DF-71D5D69119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D1E86C25-A93E-42E3-96D4-B1A465FE716E}"/>
  </w:font>
  <w:font w:name="仿宋_GB2312">
    <w:panose1 w:val="02010609030101010101"/>
    <w:charset w:val="86"/>
    <w:family w:val="auto"/>
    <w:pitch w:val="default"/>
    <w:sig w:usb0="00000001" w:usb1="080E0000" w:usb2="00000000" w:usb3="00000000" w:csb0="00040000" w:csb1="00000000"/>
    <w:embedRegular r:id="rId3" w:fontKey="{403FA2D2-2F68-4B18-8A20-F059C5DD99C3}"/>
  </w:font>
  <w:font w:name="楷体">
    <w:panose1 w:val="02010609060101010101"/>
    <w:charset w:val="86"/>
    <w:family w:val="modern"/>
    <w:pitch w:val="default"/>
    <w:sig w:usb0="800002BF" w:usb1="38CF7CFA" w:usb2="00000016" w:usb3="00000000" w:csb0="00040001" w:csb1="00000000"/>
    <w:embedRegular r:id="rId4" w:fontKey="{A73719BA-566B-4EA2-A43E-E18439D903A2}"/>
  </w:font>
  <w:font w:name="楷体_GB2312">
    <w:panose1 w:val="02010609030101010101"/>
    <w:charset w:val="86"/>
    <w:family w:val="auto"/>
    <w:pitch w:val="default"/>
    <w:sig w:usb0="00000001" w:usb1="080E0000" w:usb2="00000000" w:usb3="00000000" w:csb0="00040000" w:csb1="00000000"/>
    <w:embedRegular r:id="rId5" w:fontKey="{ED774BDD-0F0D-4E70-9F19-DACD54B84234}"/>
  </w:font>
  <w:font w:name="微软雅黑">
    <w:panose1 w:val="020B0503020204020204"/>
    <w:charset w:val="86"/>
    <w:family w:val="auto"/>
    <w:pitch w:val="default"/>
    <w:sig w:usb0="80000287" w:usb1="2ACF3C50" w:usb2="00000016" w:usb3="00000000" w:csb0="0004001F" w:csb1="00000000"/>
    <w:embedRegular r:id="rId6" w:fontKey="{A53E0EA6-B1CE-4155-8C6C-737B861C698E}"/>
  </w:font>
  <w:font w:name="方正仿宋简体">
    <w:altName w:val="微软雅黑"/>
    <w:panose1 w:val="02000000000000000000"/>
    <w:charset w:val="00"/>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embedRegular r:id="rId7" w:fontKey="{EF786432-F400-4E55-81E9-B92A05782B98}"/>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wMjI1MmIyYzhkYTg1MzRiMWU5YzlmODdjOWQyNjMifQ=="/>
  </w:docVars>
  <w:rsids>
    <w:rsidRoot w:val="2748049B"/>
    <w:rsid w:val="02D84C0B"/>
    <w:rsid w:val="052C7687"/>
    <w:rsid w:val="0B6C2E17"/>
    <w:rsid w:val="0BDA119C"/>
    <w:rsid w:val="0CA041F5"/>
    <w:rsid w:val="0D5A6BCC"/>
    <w:rsid w:val="12C64945"/>
    <w:rsid w:val="16702E8A"/>
    <w:rsid w:val="174075D6"/>
    <w:rsid w:val="17633456"/>
    <w:rsid w:val="188744BB"/>
    <w:rsid w:val="1A04152C"/>
    <w:rsid w:val="1BD77FF8"/>
    <w:rsid w:val="1BF86FDC"/>
    <w:rsid w:val="1C450915"/>
    <w:rsid w:val="1DB02E9D"/>
    <w:rsid w:val="1DB782E6"/>
    <w:rsid w:val="1F5FB7F2"/>
    <w:rsid w:val="1F6B6DE4"/>
    <w:rsid w:val="1F764571"/>
    <w:rsid w:val="207F2C92"/>
    <w:rsid w:val="20FEE0B8"/>
    <w:rsid w:val="21AA63CA"/>
    <w:rsid w:val="2393640A"/>
    <w:rsid w:val="2748049B"/>
    <w:rsid w:val="29BFEE35"/>
    <w:rsid w:val="2A692EF1"/>
    <w:rsid w:val="2AEC6B2B"/>
    <w:rsid w:val="2B3E8873"/>
    <w:rsid w:val="2CF63C91"/>
    <w:rsid w:val="2FA809A2"/>
    <w:rsid w:val="2FF11F73"/>
    <w:rsid w:val="30215B56"/>
    <w:rsid w:val="30F32549"/>
    <w:rsid w:val="31E74BC4"/>
    <w:rsid w:val="33BE94FF"/>
    <w:rsid w:val="345470DE"/>
    <w:rsid w:val="345B77E7"/>
    <w:rsid w:val="34BF792C"/>
    <w:rsid w:val="35385C2B"/>
    <w:rsid w:val="35EFDF57"/>
    <w:rsid w:val="35FD4266"/>
    <w:rsid w:val="36D054B5"/>
    <w:rsid w:val="371F7D5F"/>
    <w:rsid w:val="379FB9B9"/>
    <w:rsid w:val="37F5F938"/>
    <w:rsid w:val="380B4369"/>
    <w:rsid w:val="38E86884"/>
    <w:rsid w:val="3A435377"/>
    <w:rsid w:val="3A825050"/>
    <w:rsid w:val="3B6A7C8C"/>
    <w:rsid w:val="3BFF4444"/>
    <w:rsid w:val="3D7A9BBE"/>
    <w:rsid w:val="3DB58F80"/>
    <w:rsid w:val="3DC456E6"/>
    <w:rsid w:val="3E0F1B5D"/>
    <w:rsid w:val="3EBF8FFC"/>
    <w:rsid w:val="3F5E1AC5"/>
    <w:rsid w:val="3F71F972"/>
    <w:rsid w:val="3F7EA21B"/>
    <w:rsid w:val="3F9B7669"/>
    <w:rsid w:val="3FDF80D5"/>
    <w:rsid w:val="3FFF9191"/>
    <w:rsid w:val="46130FB8"/>
    <w:rsid w:val="47FE43DA"/>
    <w:rsid w:val="495D254A"/>
    <w:rsid w:val="4A143551"/>
    <w:rsid w:val="4B4735CD"/>
    <w:rsid w:val="4B7EB68F"/>
    <w:rsid w:val="4B9A559F"/>
    <w:rsid w:val="4E0A5FB9"/>
    <w:rsid w:val="4FF3D8AD"/>
    <w:rsid w:val="4FFFDC2F"/>
    <w:rsid w:val="507D7849"/>
    <w:rsid w:val="523F58B5"/>
    <w:rsid w:val="5464411A"/>
    <w:rsid w:val="561F7FD9"/>
    <w:rsid w:val="573FE82A"/>
    <w:rsid w:val="5BCF03E3"/>
    <w:rsid w:val="5EF3E40A"/>
    <w:rsid w:val="5EF77506"/>
    <w:rsid w:val="5EFB6A47"/>
    <w:rsid w:val="5FBE12F1"/>
    <w:rsid w:val="60152F0B"/>
    <w:rsid w:val="61686204"/>
    <w:rsid w:val="61BFA1DD"/>
    <w:rsid w:val="61FE45AD"/>
    <w:rsid w:val="63940951"/>
    <w:rsid w:val="645962D8"/>
    <w:rsid w:val="65AF45CC"/>
    <w:rsid w:val="65F84E9F"/>
    <w:rsid w:val="66A112FD"/>
    <w:rsid w:val="66B7F2BB"/>
    <w:rsid w:val="66FE0F0F"/>
    <w:rsid w:val="678F9378"/>
    <w:rsid w:val="67D72436"/>
    <w:rsid w:val="67F53C97"/>
    <w:rsid w:val="68AFDE3D"/>
    <w:rsid w:val="6A9F636F"/>
    <w:rsid w:val="6AE86252"/>
    <w:rsid w:val="6B7F6A99"/>
    <w:rsid w:val="6CA37E06"/>
    <w:rsid w:val="6D9FDA84"/>
    <w:rsid w:val="6DF9F194"/>
    <w:rsid w:val="6E7BB4F3"/>
    <w:rsid w:val="6E7F6529"/>
    <w:rsid w:val="6EBBA390"/>
    <w:rsid w:val="6F3F849A"/>
    <w:rsid w:val="6F6C1DF3"/>
    <w:rsid w:val="6F6FDA76"/>
    <w:rsid w:val="6FB755C7"/>
    <w:rsid w:val="6FBFC648"/>
    <w:rsid w:val="6FCF81C9"/>
    <w:rsid w:val="6FDA2867"/>
    <w:rsid w:val="6FF56157"/>
    <w:rsid w:val="6FFABC3B"/>
    <w:rsid w:val="6FFF1502"/>
    <w:rsid w:val="737B03CD"/>
    <w:rsid w:val="737B2328"/>
    <w:rsid w:val="73FD01BF"/>
    <w:rsid w:val="745368A0"/>
    <w:rsid w:val="74AB9DDC"/>
    <w:rsid w:val="74FF520E"/>
    <w:rsid w:val="757E3677"/>
    <w:rsid w:val="7623502C"/>
    <w:rsid w:val="76CD944B"/>
    <w:rsid w:val="76FE27B7"/>
    <w:rsid w:val="77E7EBA5"/>
    <w:rsid w:val="77ED729D"/>
    <w:rsid w:val="77F610F6"/>
    <w:rsid w:val="77FBED16"/>
    <w:rsid w:val="77FF085C"/>
    <w:rsid w:val="77FF6560"/>
    <w:rsid w:val="77FFF8D6"/>
    <w:rsid w:val="793DC29C"/>
    <w:rsid w:val="796E960A"/>
    <w:rsid w:val="797521FC"/>
    <w:rsid w:val="79D42231"/>
    <w:rsid w:val="79FF6234"/>
    <w:rsid w:val="7A325B70"/>
    <w:rsid w:val="7AF89EBC"/>
    <w:rsid w:val="7B3F9BDB"/>
    <w:rsid w:val="7BBF5E55"/>
    <w:rsid w:val="7BC87591"/>
    <w:rsid w:val="7BDE06E7"/>
    <w:rsid w:val="7BE11425"/>
    <w:rsid w:val="7BE71CB1"/>
    <w:rsid w:val="7BEFFEED"/>
    <w:rsid w:val="7BF669CC"/>
    <w:rsid w:val="7BFF672A"/>
    <w:rsid w:val="7BFFF47E"/>
    <w:rsid w:val="7C4D62CB"/>
    <w:rsid w:val="7C4EF282"/>
    <w:rsid w:val="7D87D8E1"/>
    <w:rsid w:val="7D93192E"/>
    <w:rsid w:val="7DDFAB27"/>
    <w:rsid w:val="7DDFAE6D"/>
    <w:rsid w:val="7DF41C98"/>
    <w:rsid w:val="7DF630CD"/>
    <w:rsid w:val="7DF6A7AC"/>
    <w:rsid w:val="7E34B873"/>
    <w:rsid w:val="7E3F84AD"/>
    <w:rsid w:val="7E450CD5"/>
    <w:rsid w:val="7E495DD0"/>
    <w:rsid w:val="7E5D46A3"/>
    <w:rsid w:val="7E7D2F10"/>
    <w:rsid w:val="7EF78D1A"/>
    <w:rsid w:val="7EF99631"/>
    <w:rsid w:val="7EFDAD85"/>
    <w:rsid w:val="7EFE2231"/>
    <w:rsid w:val="7EFF8D7D"/>
    <w:rsid w:val="7F3AC1DC"/>
    <w:rsid w:val="7F3CAC5E"/>
    <w:rsid w:val="7F3F0360"/>
    <w:rsid w:val="7F3F9FBA"/>
    <w:rsid w:val="7F4318AA"/>
    <w:rsid w:val="7F5FB256"/>
    <w:rsid w:val="7F7432FE"/>
    <w:rsid w:val="7F7F13AA"/>
    <w:rsid w:val="7F7FCFAA"/>
    <w:rsid w:val="7F953113"/>
    <w:rsid w:val="7FD6BA77"/>
    <w:rsid w:val="7FD91FF0"/>
    <w:rsid w:val="7FED5DB2"/>
    <w:rsid w:val="7FEFD418"/>
    <w:rsid w:val="7FF39781"/>
    <w:rsid w:val="7FFBCB39"/>
    <w:rsid w:val="7FFFC136"/>
    <w:rsid w:val="95A59530"/>
    <w:rsid w:val="99DCE8C8"/>
    <w:rsid w:val="9F1BFDD9"/>
    <w:rsid w:val="AF6F3DDD"/>
    <w:rsid w:val="AFFF76DB"/>
    <w:rsid w:val="B277AADD"/>
    <w:rsid w:val="B46115A4"/>
    <w:rsid w:val="B683731B"/>
    <w:rsid w:val="B7BF0067"/>
    <w:rsid w:val="B7CF184A"/>
    <w:rsid w:val="B7FFD4FD"/>
    <w:rsid w:val="B8653266"/>
    <w:rsid w:val="B8A78062"/>
    <w:rsid w:val="B9EE7407"/>
    <w:rsid w:val="B9EFABD9"/>
    <w:rsid w:val="BA968CD7"/>
    <w:rsid w:val="BB3F06A5"/>
    <w:rsid w:val="BBEB42C0"/>
    <w:rsid w:val="BEF9DB85"/>
    <w:rsid w:val="BEFBBC7B"/>
    <w:rsid w:val="BEFC60C1"/>
    <w:rsid w:val="BFCAB9EE"/>
    <w:rsid w:val="BFEEFB2B"/>
    <w:rsid w:val="BFEFCCC1"/>
    <w:rsid w:val="BFF69145"/>
    <w:rsid w:val="BFFDE15C"/>
    <w:rsid w:val="CB2B4A90"/>
    <w:rsid w:val="D5DF322A"/>
    <w:rsid w:val="D7CB2D41"/>
    <w:rsid w:val="D7FFBF27"/>
    <w:rsid w:val="D9873F14"/>
    <w:rsid w:val="DD7F8717"/>
    <w:rsid w:val="DDFCBF29"/>
    <w:rsid w:val="DF3F3DB3"/>
    <w:rsid w:val="DF5B14D3"/>
    <w:rsid w:val="DFB50518"/>
    <w:rsid w:val="DFB9EB87"/>
    <w:rsid w:val="DFBAE0DA"/>
    <w:rsid w:val="DFBBA7F8"/>
    <w:rsid w:val="DFEC0AA8"/>
    <w:rsid w:val="DFF3D1C4"/>
    <w:rsid w:val="E3B74843"/>
    <w:rsid w:val="E4F75F44"/>
    <w:rsid w:val="E5DC621B"/>
    <w:rsid w:val="E5FFA1E2"/>
    <w:rsid w:val="E67F9195"/>
    <w:rsid w:val="E7FF5F57"/>
    <w:rsid w:val="EABEE222"/>
    <w:rsid w:val="EABF4167"/>
    <w:rsid w:val="EAEDF33A"/>
    <w:rsid w:val="EB5C456E"/>
    <w:rsid w:val="EB7B7EB4"/>
    <w:rsid w:val="EBDD1B3E"/>
    <w:rsid w:val="ED7F9652"/>
    <w:rsid w:val="EDFBB1F9"/>
    <w:rsid w:val="EEBC98D5"/>
    <w:rsid w:val="EED8CA53"/>
    <w:rsid w:val="EEDF2998"/>
    <w:rsid w:val="EF7F26D0"/>
    <w:rsid w:val="EFABA6B4"/>
    <w:rsid w:val="EFCA635C"/>
    <w:rsid w:val="EFCFCD0E"/>
    <w:rsid w:val="EFFB7479"/>
    <w:rsid w:val="EFFF8136"/>
    <w:rsid w:val="F1FF9051"/>
    <w:rsid w:val="F3CF43BA"/>
    <w:rsid w:val="F3D7053D"/>
    <w:rsid w:val="F3EB0EA8"/>
    <w:rsid w:val="F72B33F2"/>
    <w:rsid w:val="F7BF0994"/>
    <w:rsid w:val="F7BF894A"/>
    <w:rsid w:val="F7C7AACB"/>
    <w:rsid w:val="F7CD076D"/>
    <w:rsid w:val="F7F766AB"/>
    <w:rsid w:val="F8BB405F"/>
    <w:rsid w:val="F8BCEDA1"/>
    <w:rsid w:val="F9CF3DA3"/>
    <w:rsid w:val="F9F5A03F"/>
    <w:rsid w:val="FA90DDBA"/>
    <w:rsid w:val="FADAD939"/>
    <w:rsid w:val="FAFBBE0E"/>
    <w:rsid w:val="FB554BDA"/>
    <w:rsid w:val="FBDEB0C1"/>
    <w:rsid w:val="FC6C26A0"/>
    <w:rsid w:val="FC8A76C0"/>
    <w:rsid w:val="FD7F78AE"/>
    <w:rsid w:val="FDA7D485"/>
    <w:rsid w:val="FDCBFC3E"/>
    <w:rsid w:val="FDDF01F8"/>
    <w:rsid w:val="FDFC8C77"/>
    <w:rsid w:val="FEB777DE"/>
    <w:rsid w:val="FEEFBC47"/>
    <w:rsid w:val="FEFF2812"/>
    <w:rsid w:val="FEFFF48F"/>
    <w:rsid w:val="FF1FD2E6"/>
    <w:rsid w:val="FF3716FB"/>
    <w:rsid w:val="FF3F99CE"/>
    <w:rsid w:val="FF6F52A2"/>
    <w:rsid w:val="FF775177"/>
    <w:rsid w:val="FF7A2CCD"/>
    <w:rsid w:val="FF7F3199"/>
    <w:rsid w:val="FF9F60C2"/>
    <w:rsid w:val="FFAFC00F"/>
    <w:rsid w:val="FFBD4A7D"/>
    <w:rsid w:val="FFD4FB37"/>
    <w:rsid w:val="FFDB7AA8"/>
    <w:rsid w:val="FFEB931B"/>
    <w:rsid w:val="FFF47DCA"/>
    <w:rsid w:val="FFF9848D"/>
    <w:rsid w:val="FFFE0CDC"/>
    <w:rsid w:val="FFFF56D1"/>
    <w:rsid w:val="FFFFC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方正仿宋_GBK" w:cs="宋体"/>
      <w:kern w:val="2"/>
      <w:sz w:val="32"/>
      <w:szCs w:val="32"/>
      <w:lang w:val="en-US" w:eastAsia="zh-CN" w:bidi="ar-SA"/>
    </w:rPr>
  </w:style>
  <w:style w:type="paragraph" w:styleId="3">
    <w:name w:val="heading 2"/>
    <w:basedOn w:val="1"/>
    <w:next w:val="1"/>
    <w:link w:val="14"/>
    <w:qFormat/>
    <w:uiPriority w:val="99"/>
    <w:pPr>
      <w:keepNext/>
      <w:keepLines/>
      <w:spacing w:before="260" w:after="260" w:line="416" w:lineRule="auto"/>
      <w:outlineLvl w:val="1"/>
    </w:pPr>
    <w:rPr>
      <w:rFonts w:ascii="Arial" w:hAnsi="Arial" w:eastAsia="黑体" w:cs="Arial"/>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UserStyle_0"/>
    <w:basedOn w:val="1"/>
    <w:qFormat/>
    <w:uiPriority w:val="0"/>
    <w:pPr>
      <w:widowControl/>
      <w:shd w:val="clear" w:color="auto" w:fill="FFFFFF"/>
      <w:spacing w:before="100" w:beforeAutospacing="1" w:after="100" w:afterAutospacing="1"/>
      <w:ind w:left="562"/>
      <w:jc w:val="center"/>
      <w:textAlignment w:val="baseline"/>
    </w:pPr>
    <w:rPr>
      <w:rFonts w:ascii="宋体" w:hAnsi="宋体"/>
      <w:b/>
      <w:bCs/>
    </w:rPr>
  </w:style>
  <w:style w:type="paragraph" w:styleId="4">
    <w:name w:val="Body Text"/>
    <w:basedOn w:val="1"/>
    <w:semiHidden/>
    <w:qFormat/>
    <w:uiPriority w:val="0"/>
    <w:rPr>
      <w:rFonts w:ascii="宋体" w:hAnsi="宋体" w:eastAsia="宋体" w:cs="宋体"/>
      <w:sz w:val="58"/>
      <w:szCs w:val="58"/>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rPr>
      <w:rFonts w:ascii="Calibri" w:hAnsi="Calibri" w:eastAsia="宋体" w:cs="Times New Roman"/>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widowControl w:val="0"/>
      <w:kinsoku/>
      <w:autoSpaceDE/>
      <w:autoSpaceDN/>
      <w:adjustRightInd/>
      <w:snapToGrid/>
      <w:spacing w:line="278" w:lineRule="auto"/>
      <w:jc w:val="center"/>
      <w:textAlignment w:val="auto"/>
      <w:outlineLvl w:val="0"/>
    </w:pPr>
    <w:rPr>
      <w:rFonts w:ascii="方正小标宋_GBK" w:hAnsi="方正小标宋_GBK" w:eastAsia="方正小标宋_GBK" w:cs="方正小标宋_GBK"/>
      <w:snapToGrid/>
      <w:color w:val="auto"/>
      <w:kern w:val="2"/>
      <w:sz w:val="44"/>
      <w:szCs w:val="44"/>
      <w:lang w:eastAsia="zh-CN"/>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标题 2 Char"/>
    <w:link w:val="3"/>
    <w:qFormat/>
    <w:uiPriority w:val="9"/>
    <w:rPr>
      <w:rFonts w:ascii="Arial" w:hAnsi="Arial" w:eastAsia="黑体" w:cs="Arial"/>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d43bf3c3-11a6-4095-a87e-6ea9efe2bea5</errorID>
      <errorWord xmlns="http://schemas.wps.cn/vas-ai-hub/contract-review">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首席</item>
      </candidateList>
      <explain xmlns="http://schemas.wps.cn/vas-ai-hub/contract-review"/>
      <paraID xmlns="http://schemas.wps.cn/vas-ai-hub/contract-review">2E118822</paraID>
      <start xmlns="http://schemas.wps.cn/vas-ai-hub/contract-review">28</start>
      <end xmlns="http://schemas.wps.cn/vas-ai-hub/contract-review">30</end>
      <status xmlns="http://schemas.wps.cn/vas-ai-hub/contract-review">modified</status>
      <modifiedWord xmlns="http://schemas.wps.cn/vas-ai-hub/contract-review">首席</modifiedWord>
      <trackRevisions xmlns="http://schemas.wps.cn/vas-ai-hub/contract-review">false</trackRevisions>
    </reviewItem>
    <reviewItem xmlns="http://schemas.wps.cn/vas-ai-hub/contract-review">
      <errorID xmlns="http://schemas.wps.cn/vas-ai-hub/contract-review">c3bf7010-065a-4ea5-97d8-a0102adcbc1e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53ED6CFA</paraID>
      <start xmlns="http://schemas.wps.cn/vas-ai-hub/contract-review">50</start>
      <end xmlns="http://schemas.wps.cn/vas-ai-hub/contract-review">52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3fc0c33e-fcc7-4ca5-8cf0-029e9f5013a5</errorID>
      <errorWord xmlns="http://schemas.wps.cn/vas-ai-hub/contract-review">、以及</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，以及</item>
      </candidateList>
      <explain xmlns="http://schemas.wps.cn/vas-ai-hub/contract-review">连接词前后不宜使用顿号，建议使用逗号。</explain>
      <paraID xmlns="http://schemas.wps.cn/vas-ai-hub/contract-review">53ED6CFA</paraID>
      <start xmlns="http://schemas.wps.cn/vas-ai-hub/contract-review">57</start>
      <end xmlns="http://schemas.wps.cn/vas-ai-hub/contract-review">60</end>
      <status xmlns="http://schemas.wps.cn/vas-ai-hub/contract-review">modified</status>
      <modifiedWord xmlns="http://schemas.wps.cn/vas-ai-hub/contract-review">，以及</modifiedWord>
      <trackRevisions xmlns="http://schemas.wps.cn/vas-ai-hub/contract-review">false</trackRevisions>
    </reviewItem>
    <reviewItem xmlns="http://schemas.wps.cn/vas-ai-hub/contract-review">
      <errorID xmlns="http://schemas.wps.cn/vas-ai-hub/contract-review">dd2e7281-523c-484e-a8cf-41291165bc6a</errorID>
      <errorWord xmlns="http://schemas.wps.cn/vas-ai-hub/contract-review">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官</item>
      </candidateList>
      <explain xmlns="http://schemas.wps.cn/vas-ai-hub/contract-review">存在发音相同字词的误用。</explain>
      <paraID xmlns="http://schemas.wps.cn/vas-ai-hub/contract-review">5F8BE256</paraID>
      <start xmlns="http://schemas.wps.cn/vas-ai-hub/contract-review">13</start>
      <end xmlns="http://schemas.wps.cn/vas-ai-hub/contract-review">14</end>
      <status xmlns="http://schemas.wps.cn/vas-ai-hub/contract-review">modified</status>
      <modifiedWord xmlns="http://schemas.wps.cn/vas-ai-hub/contract-review">官</modifiedWord>
      <trackRevisions xmlns="http://schemas.wps.cn/vas-ai-hub/contract-review">false</trackRevisions>
    </reviewItem>
    <reviewItem xmlns="http://schemas.wps.cn/vas-ai-hub/contract-review">
      <errorID xmlns="http://schemas.wps.cn/vas-ai-hub/contract-review">a4589b8f-fcbb-4776-a086-ead4be9a2b6b</errorID>
      <errorWord xmlns="http://schemas.wps.cn/vas-ai-hub/contract-review">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首席</item>
      </candidateList>
      <explain xmlns="http://schemas.wps.cn/vas-ai-hub/contract-review"/>
      <paraID xmlns="http://schemas.wps.cn/vas-ai-hub/contract-review">1AD86BD9</paraID>
      <start xmlns="http://schemas.wps.cn/vas-ai-hub/contract-review">32</start>
      <end xmlns="http://schemas.wps.cn/vas-ai-hub/contract-review">34</end>
      <status xmlns="http://schemas.wps.cn/vas-ai-hub/contract-review">modified</status>
      <modifiedWord xmlns="http://schemas.wps.cn/vas-ai-hub/contract-review">首席</modifiedWord>
      <trackRevisions xmlns="http://schemas.wps.cn/vas-ai-hub/contract-review">false</trackRevisions>
    </reviewItem>
    <reviewItem xmlns="http://schemas.wps.cn/vas-ai-hub/contract-review">
      <errorID xmlns="http://schemas.wps.cn/vas-ai-hub/contract-review">627cc967-a95b-4186-8301-a33324e73664</errorID>
      <errorWord xmlns="http://schemas.wps.cn/vas-ai-hub/contract-review">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首席</item>
      </candidateList>
      <explain xmlns="http://schemas.wps.cn/vas-ai-hub/contract-review"/>
      <paraID xmlns="http://schemas.wps.cn/vas-ai-hub/contract-review">6C5E17D0</paraID>
      <start xmlns="http://schemas.wps.cn/vas-ai-hub/contract-review">25</start>
      <end xmlns="http://schemas.wps.cn/vas-ai-hub/contract-review">27</end>
      <status xmlns="http://schemas.wps.cn/vas-ai-hub/contract-review">modified</status>
      <modifiedWord xmlns="http://schemas.wps.cn/vas-ai-hub/contract-review">首席</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cce5cc-63ce-4adc-92b7-098d6564f0d1}">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2926</Words>
  <Characters>2999</Characters>
  <Lines>0</Lines>
  <Paragraphs>0</Paragraphs>
  <TotalTime>3</TotalTime>
  <ScaleCrop>false</ScaleCrop>
  <LinksUpToDate>false</LinksUpToDate>
  <CharactersWithSpaces>2999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2019-09-02T00:01:00Z</dcterms:created>
  <dc:creator>王力民</dc:creator>
  <cp:lastModifiedBy>清风徐来</cp:lastModifiedBy>
  <cp:lastPrinted>2026-07-20T10:15:00Z</cp:lastPrinted>
  <dcterms:modified xsi:type="dcterms:W3CDTF">2026-07-22T02:23:11Z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SaveFontToCloudKey">
    <vt:lpwstr>269973480_btnclosed</vt:lpwstr>
  </property>
  <property fmtid="{D5CDD505-2E9C-101B-9397-08002B2CF9AE}" pid="4" name="ICV">
    <vt:lpwstr>EDD7F43E39CFB3AC28215F6A1093AAE7_43</vt:lpwstr>
  </property>
  <property fmtid="{D5CDD505-2E9C-101B-9397-08002B2CF9AE}" pid="5" name="KSOTemplateDocerSaveRecord">
    <vt:lpwstr>eyJoZGlkIjoiMGU0NDg3ZGU2MzJkMzg4ZDc3OTk3YWViNWQ3NDFhMzUiLCJ1c2VySWQiOiI1MDkwNjk1MDIifQ==</vt:lpwstr>
  </property>
</Properties>
</file>