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D6697B">
      <w:pPr>
        <w:autoSpaceDE w:val="0"/>
        <w:autoSpaceDN w:val="0"/>
        <w:adjustRightInd w:val="0"/>
        <w:spacing w:line="560" w:lineRule="exact"/>
        <w:jc w:val="left"/>
        <w:rPr>
          <w:rFonts w:hint="eastAsia" w:eastAsia="黑体"/>
          <w:kern w:val="0"/>
          <w:sz w:val="32"/>
          <w:szCs w:val="32"/>
          <w:lang w:val="en-US" w:eastAsia="zh-CN"/>
        </w:rPr>
      </w:pPr>
      <w:r>
        <w:rPr>
          <w:rFonts w:eastAsia="黑体"/>
          <w:kern w:val="0"/>
          <w:sz w:val="32"/>
          <w:szCs w:val="32"/>
        </w:rPr>
        <w:t>附件</w:t>
      </w:r>
      <w:r>
        <w:rPr>
          <w:rFonts w:hint="eastAsia" w:eastAsia="黑体"/>
          <w:kern w:val="0"/>
          <w:sz w:val="32"/>
          <w:szCs w:val="32"/>
          <w:lang w:val="en-US" w:eastAsia="zh-CN"/>
        </w:rPr>
        <w:t>5</w:t>
      </w:r>
      <w:bookmarkStart w:id="4" w:name="_GoBack"/>
      <w:bookmarkEnd w:id="4"/>
    </w:p>
    <w:p w14:paraId="449956E5">
      <w:pPr>
        <w:spacing w:line="560" w:lineRule="exact"/>
        <w:jc w:val="center"/>
        <w:rPr>
          <w:rFonts w:eastAsia="方正小标宋_GBK"/>
          <w:kern w:val="0"/>
          <w:sz w:val="44"/>
          <w:szCs w:val="44"/>
        </w:rPr>
      </w:pPr>
      <w:bookmarkStart w:id="0" w:name="_Hlk97505821"/>
      <w:r>
        <w:rPr>
          <w:rFonts w:eastAsia="方正小标宋_GBK"/>
          <w:kern w:val="0"/>
          <w:sz w:val="44"/>
          <w:szCs w:val="44"/>
        </w:rPr>
        <w:t>填报说明、指标解释及证明材料</w:t>
      </w:r>
    </w:p>
    <w:bookmarkEnd w:id="0"/>
    <w:p w14:paraId="49A76668">
      <w:pPr>
        <w:spacing w:line="560" w:lineRule="exact"/>
        <w:jc w:val="center"/>
        <w:rPr>
          <w:rFonts w:eastAsia="方正小标宋_GBK"/>
          <w:kern w:val="0"/>
          <w:sz w:val="44"/>
          <w:szCs w:val="44"/>
        </w:rPr>
      </w:pPr>
    </w:p>
    <w:p w14:paraId="36108E1B">
      <w:pPr>
        <w:spacing w:line="560" w:lineRule="exact"/>
        <w:ind w:firstLine="640" w:firstLineChars="200"/>
        <w:rPr>
          <w:rFonts w:eastAsia="黑体"/>
          <w:sz w:val="32"/>
          <w:szCs w:val="32"/>
        </w:rPr>
      </w:pPr>
      <w:r>
        <w:rPr>
          <w:rFonts w:eastAsia="黑体"/>
          <w:sz w:val="32"/>
          <w:szCs w:val="32"/>
        </w:rPr>
        <w:t>一、填报说明</w:t>
      </w:r>
    </w:p>
    <w:p w14:paraId="342871FC">
      <w:pPr>
        <w:spacing w:line="560" w:lineRule="exact"/>
        <w:ind w:firstLine="640" w:firstLineChars="200"/>
      </w:pPr>
      <w:r>
        <w:rPr>
          <w:rFonts w:eastAsia="仿宋_GB2312"/>
          <w:sz w:val="32"/>
          <w:szCs w:val="32"/>
        </w:rPr>
        <w:t>承担单位为企业的工程研究中心</w:t>
      </w:r>
      <w:bookmarkStart w:id="1" w:name="_Hlk97498477"/>
      <w:r>
        <w:rPr>
          <w:rFonts w:eastAsia="仿宋_GB2312"/>
          <w:sz w:val="32"/>
          <w:szCs w:val="32"/>
        </w:rPr>
        <w:t>需提交《企业研究开发项目情况》（107-1表）和《企业研究开发活动及相关情况》（107-2表）</w:t>
      </w:r>
      <w:bookmarkEnd w:id="1"/>
      <w:r>
        <w:rPr>
          <w:rFonts w:eastAsia="仿宋_GB2312"/>
          <w:sz w:val="32"/>
          <w:szCs w:val="32"/>
        </w:rPr>
        <w:t>，应从</w:t>
      </w:r>
      <w:r>
        <w:rPr>
          <w:rFonts w:eastAsia="仿宋_GB2312"/>
          <w:bCs/>
          <w:sz w:val="32"/>
          <w:szCs w:val="32"/>
        </w:rPr>
        <w:t>国家统计局联网直报平台</w:t>
      </w:r>
      <w:r>
        <w:rPr>
          <w:rFonts w:eastAsia="仿宋_GB2312"/>
          <w:sz w:val="32"/>
          <w:szCs w:val="32"/>
        </w:rPr>
        <w:t>导出。</w:t>
      </w:r>
      <w:bookmarkStart w:id="2" w:name="_Hlk97498469"/>
      <w:r>
        <w:rPr>
          <w:rFonts w:eastAsia="仿宋_GB2312"/>
          <w:sz w:val="32"/>
          <w:szCs w:val="32"/>
        </w:rPr>
        <w:t>未列入国家统计局规模以上工业法人单位研发活动情况统计范围的企业</w:t>
      </w:r>
      <w:bookmarkEnd w:id="2"/>
      <w:r>
        <w:rPr>
          <w:rFonts w:eastAsia="仿宋_GB2312"/>
          <w:sz w:val="32"/>
          <w:szCs w:val="32"/>
        </w:rPr>
        <w:t>，应参照上述表格格式填报后盖章提交。涉及107表的指标，企业提供的其他证明材料</w:t>
      </w:r>
      <w:r>
        <w:rPr>
          <w:rFonts w:hint="eastAsia" w:ascii="楷体_GB2312" w:hAnsi="楷体_GB2312" w:eastAsia="楷体_GB2312" w:cs="楷体_GB2312"/>
          <w:sz w:val="32"/>
          <w:szCs w:val="32"/>
        </w:rPr>
        <w:t>（如研发项目的立项证明文件、技术开发仪器设备清单等，详见“二、指标解释及证明材料”部分）</w:t>
      </w:r>
      <w:r>
        <w:rPr>
          <w:rFonts w:eastAsia="仿宋_GB2312"/>
          <w:sz w:val="32"/>
          <w:szCs w:val="32"/>
        </w:rPr>
        <w:t>，相关情况应与107表一致。</w:t>
      </w:r>
    </w:p>
    <w:p w14:paraId="0EA991AA">
      <w:pPr>
        <w:spacing w:line="560" w:lineRule="exact"/>
        <w:ind w:firstLine="640" w:firstLineChars="200"/>
        <w:rPr>
          <w:rFonts w:eastAsia="黑体"/>
          <w:sz w:val="32"/>
          <w:szCs w:val="32"/>
        </w:rPr>
      </w:pPr>
      <w:r>
        <w:rPr>
          <w:rFonts w:eastAsia="黑体"/>
          <w:sz w:val="32"/>
          <w:szCs w:val="32"/>
        </w:rPr>
        <w:t>二、指标解释及证明材料</w:t>
      </w:r>
    </w:p>
    <w:p w14:paraId="1A45D451">
      <w:pPr>
        <w:pStyle w:val="3"/>
        <w:adjustRightInd w:val="0"/>
        <w:spacing w:line="560" w:lineRule="exact"/>
        <w:ind w:firstLine="600"/>
        <w:rPr>
          <w:rFonts w:eastAsia="仿宋_GB2312"/>
          <w:color w:val="000000"/>
          <w:kern w:val="0"/>
          <w:szCs w:val="32"/>
        </w:rPr>
      </w:pPr>
      <w:r>
        <w:rPr>
          <w:rFonts w:eastAsia="仿宋_GB2312"/>
          <w:b/>
          <w:bCs/>
          <w:szCs w:val="32"/>
        </w:rPr>
        <w:t>1. 承担单位主持市级及以上重点科研项目数量：</w:t>
      </w:r>
      <w:r>
        <w:rPr>
          <w:rFonts w:eastAsia="仿宋_GB2312"/>
          <w:color w:val="000000"/>
          <w:kern w:val="0"/>
          <w:szCs w:val="32"/>
        </w:rPr>
        <w:t>指承担单位主持过的科研项目中，由市级及以上政府组成部门、直属机构直接委托或批复的科技项目。主要包括科技重大专项、重点研发计划、技术创新引导专项（基金）、基地和人才专项，以及有关部门支持的为解决产业“卡脖子”技术问题开展的重大项目等。</w:t>
      </w:r>
    </w:p>
    <w:p w14:paraId="03EEEBB0">
      <w:pPr>
        <w:spacing w:line="560" w:lineRule="exact"/>
        <w:ind w:firstLine="640" w:firstLineChars="200"/>
        <w:rPr>
          <w:rFonts w:eastAsia="仿宋_GB2312"/>
          <w:sz w:val="32"/>
          <w:szCs w:val="32"/>
        </w:rPr>
      </w:pPr>
      <w:r>
        <w:rPr>
          <w:rFonts w:eastAsia="仿宋_GB2312"/>
          <w:sz w:val="32"/>
          <w:szCs w:val="32"/>
        </w:rPr>
        <w:t>证明材料：科研项目的政府批复文件。</w:t>
      </w:r>
    </w:p>
    <w:p w14:paraId="7FD4849E">
      <w:pPr>
        <w:spacing w:line="560" w:lineRule="exact"/>
        <w:ind w:firstLine="643" w:firstLineChars="200"/>
        <w:rPr>
          <w:rFonts w:eastAsia="仿宋_GB2312"/>
          <w:b/>
          <w:bCs/>
          <w:sz w:val="32"/>
          <w:szCs w:val="32"/>
        </w:rPr>
      </w:pPr>
      <w:r>
        <w:rPr>
          <w:rFonts w:eastAsia="仿宋_GB2312"/>
          <w:b/>
          <w:bCs/>
          <w:sz w:val="32"/>
          <w:szCs w:val="32"/>
        </w:rPr>
        <w:t>2. 工程研究中心现有研发场所面积：</w:t>
      </w:r>
      <w:r>
        <w:rPr>
          <w:rFonts w:eastAsia="仿宋_GB2312"/>
          <w:sz w:val="32"/>
          <w:szCs w:val="32"/>
        </w:rPr>
        <w:t>截至报告年度</w:t>
      </w:r>
      <w:r>
        <w:rPr>
          <w:rFonts w:eastAsia="楷体_GB2312"/>
          <w:sz w:val="28"/>
          <w:szCs w:val="32"/>
        </w:rPr>
        <w:t>（在此次认定中指2025年，下同）</w:t>
      </w:r>
      <w:r>
        <w:rPr>
          <w:rFonts w:eastAsia="仿宋_GB2312"/>
          <w:sz w:val="32"/>
          <w:szCs w:val="32"/>
        </w:rPr>
        <w:t>末，工程研究中心实际占用的场地面积，以及与相关单位以合同方式确立的可自主支配的场地面积之和。主要包括工程研究中心用于研发、中试、办公等用途的自有产权或使用权（含租赁）的建筑面积。应为相对独立的整个场所面积，不能为按照人员数核算的标称面积。</w:t>
      </w:r>
    </w:p>
    <w:p w14:paraId="16F09EC2">
      <w:pPr>
        <w:spacing w:line="560" w:lineRule="exact"/>
        <w:ind w:firstLine="640" w:firstLineChars="200"/>
        <w:rPr>
          <w:rFonts w:eastAsia="仿宋_GB2312"/>
          <w:sz w:val="32"/>
          <w:szCs w:val="32"/>
        </w:rPr>
      </w:pPr>
      <w:r>
        <w:rPr>
          <w:rFonts w:eastAsia="仿宋_GB2312"/>
          <w:sz w:val="32"/>
          <w:szCs w:val="32"/>
        </w:rPr>
        <w:t>证明材料：房屋产权证明、使用权证明或房屋租赁合同，能证明工程研究中心拥有或使用该建筑面积。</w:t>
      </w:r>
    </w:p>
    <w:p w14:paraId="2807279C">
      <w:pPr>
        <w:spacing w:line="560" w:lineRule="exact"/>
        <w:ind w:firstLine="643" w:firstLineChars="200"/>
        <w:rPr>
          <w:rFonts w:eastAsia="仿宋_GB2312"/>
          <w:sz w:val="32"/>
          <w:szCs w:val="32"/>
        </w:rPr>
      </w:pPr>
      <w:r>
        <w:rPr>
          <w:rFonts w:eastAsia="仿宋_GB2312"/>
          <w:b/>
          <w:bCs/>
          <w:sz w:val="32"/>
          <w:szCs w:val="32"/>
        </w:rPr>
        <w:t>3. 工程研究中心研发设备原值：</w:t>
      </w:r>
      <w:r>
        <w:rPr>
          <w:rFonts w:eastAsia="仿宋_GB2312"/>
          <w:sz w:val="32"/>
          <w:szCs w:val="32"/>
        </w:rPr>
        <w:t>截至报告年度末，工程研究中心拥有的用于研发的固定资产中的仪器和设备原价。其中，设备包括用于研发活动 的各类机器和设备、试验测量仪器、运输工具、工装工具等。</w:t>
      </w:r>
    </w:p>
    <w:p w14:paraId="358748D0">
      <w:pPr>
        <w:spacing w:line="560" w:lineRule="exact"/>
        <w:ind w:firstLine="640" w:firstLineChars="200"/>
        <w:rPr>
          <w:rFonts w:eastAsia="仿宋_GB2312"/>
          <w:sz w:val="32"/>
          <w:szCs w:val="32"/>
        </w:rPr>
      </w:pPr>
      <w:r>
        <w:rPr>
          <w:rFonts w:eastAsia="仿宋_GB2312"/>
          <w:sz w:val="32"/>
          <w:szCs w:val="32"/>
        </w:rPr>
        <w:t>证明材料：企业研究开发活动及相关情况表（即表107-2）、技术开发仪器设备清单（包含名称、数量、单价、制造商等）以及采购原值发票（提供不少于三分之二的研发设备发票）或采购合同等。</w:t>
      </w:r>
    </w:p>
    <w:p w14:paraId="220135CC">
      <w:pPr>
        <w:spacing w:line="560" w:lineRule="exact"/>
        <w:ind w:firstLine="643" w:firstLineChars="200"/>
        <w:rPr>
          <w:rFonts w:eastAsia="仿宋_GB2312"/>
          <w:sz w:val="32"/>
          <w:szCs w:val="32"/>
        </w:rPr>
      </w:pPr>
      <w:r>
        <w:rPr>
          <w:rFonts w:eastAsia="仿宋_GB2312"/>
          <w:b/>
          <w:bCs/>
          <w:sz w:val="32"/>
          <w:szCs w:val="32"/>
        </w:rPr>
        <w:t>4．工程研究中心固定科研人员数量：</w:t>
      </w:r>
      <w:r>
        <w:rPr>
          <w:rFonts w:eastAsia="仿宋_GB2312"/>
          <w:sz w:val="32"/>
          <w:szCs w:val="32"/>
        </w:rPr>
        <w:t>截至报告年度末工程研究中心中从事基础研究、应用研究和试验发展活动的人员，以及与上述三类研发活动相关的管理人员和直接服务人员，即直接为研发活动提供资料文献、材料供应、设备维护等服务的人员。不包括为研发活动提供间接服务的人员，如餐饮服务、安保人员等。</w:t>
      </w:r>
    </w:p>
    <w:p w14:paraId="23798B9B">
      <w:pPr>
        <w:spacing w:line="560" w:lineRule="exact"/>
        <w:ind w:firstLine="640" w:firstLineChars="200"/>
        <w:rPr>
          <w:rFonts w:eastAsia="仿宋_GB2312"/>
          <w:sz w:val="32"/>
          <w:szCs w:val="32"/>
        </w:rPr>
      </w:pPr>
      <w:r>
        <w:rPr>
          <w:rFonts w:eastAsia="仿宋_GB2312"/>
          <w:sz w:val="32"/>
          <w:szCs w:val="32"/>
        </w:rPr>
        <w:t>证明材料：企业研究开发活动及相关情况表（即表107-2）、固定科研人员清单（含社保号）。</w:t>
      </w:r>
    </w:p>
    <w:p w14:paraId="08ED9181">
      <w:pPr>
        <w:spacing w:line="560" w:lineRule="exact"/>
        <w:ind w:firstLine="643" w:firstLineChars="200"/>
        <w:rPr>
          <w:rFonts w:eastAsia="仿宋_GB2312"/>
          <w:sz w:val="32"/>
          <w:szCs w:val="32"/>
        </w:rPr>
      </w:pPr>
      <w:r>
        <w:rPr>
          <w:rFonts w:eastAsia="仿宋_GB2312"/>
          <w:b/>
          <w:bCs/>
          <w:sz w:val="32"/>
          <w:szCs w:val="32"/>
        </w:rPr>
        <w:t>5.高级专家、博士和硕士人数：</w:t>
      </w:r>
      <w:r>
        <w:rPr>
          <w:rFonts w:eastAsia="仿宋_GB2312"/>
          <w:sz w:val="32"/>
          <w:szCs w:val="32"/>
        </w:rPr>
        <w:t>高级专家指全职在工程研究中心工作、获得国家、省、部和计划单列市等政府部门认定的有突出贡献的专家或者享受国家、省、部和计划单列市专项津贴的专家数。博士和硕士人数指全职在工程研究中心工作、获得博士、硕士学位的人员数。在站博士后可以作为博士进行统计。</w:t>
      </w:r>
    </w:p>
    <w:p w14:paraId="1CF3AD53">
      <w:pPr>
        <w:spacing w:line="560" w:lineRule="exact"/>
        <w:ind w:firstLine="640" w:firstLineChars="200"/>
        <w:rPr>
          <w:rFonts w:eastAsia="仿宋_GB2312"/>
          <w:sz w:val="32"/>
          <w:szCs w:val="32"/>
        </w:rPr>
      </w:pPr>
      <w:r>
        <w:rPr>
          <w:rFonts w:eastAsia="仿宋_GB2312"/>
          <w:sz w:val="32"/>
          <w:szCs w:val="32"/>
        </w:rPr>
        <w:t>证明材料：企业研究开发活动及相关情况表（即表107-2）及专家证明材料、博士和硕士学历或毕业证书等。</w:t>
      </w:r>
    </w:p>
    <w:p w14:paraId="4B4D0A1D">
      <w:pPr>
        <w:spacing w:line="560" w:lineRule="exact"/>
        <w:ind w:firstLine="643" w:firstLineChars="200"/>
        <w:rPr>
          <w:rFonts w:eastAsia="仿宋_GB2312"/>
          <w:sz w:val="32"/>
          <w:szCs w:val="32"/>
        </w:rPr>
      </w:pPr>
      <w:r>
        <w:rPr>
          <w:rFonts w:eastAsia="仿宋_GB2312"/>
          <w:b/>
          <w:bCs/>
          <w:sz w:val="32"/>
          <w:szCs w:val="32"/>
        </w:rPr>
        <w:t>6．企业固定资产原值</w:t>
      </w:r>
      <w:r>
        <w:rPr>
          <w:rFonts w:eastAsia="仿宋_GB2312"/>
          <w:sz w:val="32"/>
          <w:szCs w:val="32"/>
        </w:rPr>
        <w:t>：指截至报告年度末企业为生产产品、提供劳务、出租或者经营管理而持有的非货币性资产，包括房屋与建筑物、一般办公设备、机器、机械、运输工具以及其他与生产经营活动有关的设备、器具、工具等。</w:t>
      </w:r>
    </w:p>
    <w:p w14:paraId="6589E6E1">
      <w:pPr>
        <w:spacing w:line="560" w:lineRule="exact"/>
        <w:ind w:firstLine="640" w:firstLineChars="200"/>
        <w:rPr>
          <w:rFonts w:eastAsia="仿宋_GB2312"/>
          <w:sz w:val="32"/>
          <w:szCs w:val="32"/>
        </w:rPr>
      </w:pPr>
      <w:r>
        <w:rPr>
          <w:rFonts w:eastAsia="仿宋_GB2312"/>
          <w:sz w:val="32"/>
          <w:szCs w:val="32"/>
        </w:rPr>
        <w:t>证明材料：第三方机构出具的审计报告等。</w:t>
      </w:r>
    </w:p>
    <w:p w14:paraId="766B389A">
      <w:pPr>
        <w:spacing w:line="560" w:lineRule="exact"/>
        <w:ind w:firstLine="643" w:firstLineChars="200"/>
        <w:rPr>
          <w:rFonts w:eastAsia="仿宋_GB2312"/>
          <w:sz w:val="32"/>
          <w:szCs w:val="32"/>
        </w:rPr>
      </w:pPr>
      <w:r>
        <w:rPr>
          <w:rFonts w:eastAsia="仿宋_GB2312"/>
          <w:b/>
          <w:bCs/>
          <w:sz w:val="32"/>
          <w:szCs w:val="32"/>
        </w:rPr>
        <w:t>7</w:t>
      </w:r>
      <w:r>
        <w:rPr>
          <w:rFonts w:eastAsia="仿宋_GB2312"/>
          <w:sz w:val="32"/>
          <w:szCs w:val="32"/>
        </w:rPr>
        <w:t>．</w:t>
      </w:r>
      <w:r>
        <w:rPr>
          <w:rFonts w:eastAsia="仿宋_GB2312"/>
          <w:b/>
          <w:sz w:val="32"/>
          <w:szCs w:val="32"/>
        </w:rPr>
        <w:t>企业主营业务收入</w:t>
      </w:r>
      <w:r>
        <w:rPr>
          <w:rFonts w:eastAsia="仿宋_GB2312"/>
          <w:sz w:val="32"/>
          <w:szCs w:val="32"/>
        </w:rPr>
        <w:t>：指报告年度内企业确认的销售商品、提供劳务等主营业务的收入。根据会计“主营业务收入”科目的期末贷方余额填报。若会计报告和会计报表中未设置该科目，以“营业收入”代替填报。</w:t>
      </w:r>
    </w:p>
    <w:p w14:paraId="0A67573F">
      <w:pPr>
        <w:spacing w:line="560" w:lineRule="exact"/>
        <w:ind w:firstLine="640" w:firstLineChars="200"/>
        <w:rPr>
          <w:rFonts w:eastAsia="仿宋_GB2312"/>
          <w:sz w:val="32"/>
          <w:szCs w:val="32"/>
        </w:rPr>
      </w:pPr>
      <w:r>
        <w:rPr>
          <w:rFonts w:eastAsia="仿宋_GB2312"/>
          <w:sz w:val="32"/>
          <w:szCs w:val="32"/>
        </w:rPr>
        <w:t>证明材料：经第三方机构审计的企业财务报表（包括：企业资产负债表、损益表、现金流量表）等。</w:t>
      </w:r>
    </w:p>
    <w:p w14:paraId="398AC38F">
      <w:pPr>
        <w:spacing w:line="560" w:lineRule="exact"/>
        <w:ind w:firstLine="643" w:firstLineChars="200"/>
        <w:rPr>
          <w:rFonts w:eastAsia="仿宋_GB2312"/>
          <w:sz w:val="32"/>
          <w:szCs w:val="32"/>
        </w:rPr>
      </w:pPr>
      <w:r>
        <w:rPr>
          <w:rFonts w:eastAsia="仿宋_GB2312"/>
          <w:b/>
          <w:bCs/>
          <w:sz w:val="32"/>
          <w:szCs w:val="32"/>
        </w:rPr>
        <w:t>8</w:t>
      </w:r>
      <w:r>
        <w:rPr>
          <w:rFonts w:eastAsia="仿宋_GB2312"/>
          <w:sz w:val="32"/>
          <w:szCs w:val="32"/>
        </w:rPr>
        <w:t xml:space="preserve">. </w:t>
      </w:r>
      <w:r>
        <w:rPr>
          <w:rFonts w:eastAsia="仿宋_GB2312"/>
          <w:b/>
          <w:sz w:val="32"/>
          <w:szCs w:val="32"/>
        </w:rPr>
        <w:t>企业研发经费支出</w:t>
      </w:r>
      <w:r>
        <w:rPr>
          <w:rFonts w:eastAsia="仿宋_GB2312"/>
          <w:sz w:val="32"/>
          <w:szCs w:val="32"/>
        </w:rPr>
        <w:t>：指报告年度内企业研发活动的经费支出合计，包括企业内部的日常研发经费支出，当年形成用于研发的固定资产支出和委托外单位开展研发的经费支出。</w:t>
      </w:r>
    </w:p>
    <w:p w14:paraId="1B7D1D38">
      <w:pPr>
        <w:spacing w:line="560" w:lineRule="exact"/>
        <w:ind w:firstLine="640" w:firstLineChars="200"/>
        <w:rPr>
          <w:rFonts w:eastAsia="仿宋_GB2312"/>
          <w:sz w:val="32"/>
          <w:szCs w:val="32"/>
        </w:rPr>
      </w:pPr>
      <w:r>
        <w:rPr>
          <w:rFonts w:eastAsia="仿宋_GB2312"/>
          <w:sz w:val="32"/>
          <w:szCs w:val="32"/>
        </w:rPr>
        <w:t>证明材料：企业研究开发活动及相关情况表（即表107-2）等。</w:t>
      </w:r>
    </w:p>
    <w:p w14:paraId="29D69FC6">
      <w:pPr>
        <w:spacing w:line="560" w:lineRule="exact"/>
        <w:ind w:firstLine="643" w:firstLineChars="200"/>
        <w:rPr>
          <w:rFonts w:eastAsia="仿宋_GB2312"/>
          <w:bCs/>
          <w:sz w:val="32"/>
          <w:szCs w:val="32"/>
        </w:rPr>
      </w:pPr>
      <w:r>
        <w:rPr>
          <w:rFonts w:eastAsia="仿宋_GB2312"/>
          <w:b/>
          <w:bCs/>
          <w:sz w:val="32"/>
          <w:szCs w:val="32"/>
        </w:rPr>
        <w:t>9</w:t>
      </w:r>
      <w:r>
        <w:rPr>
          <w:rFonts w:eastAsia="仿宋_GB2312"/>
          <w:sz w:val="32"/>
          <w:szCs w:val="32"/>
        </w:rPr>
        <w:t>．</w:t>
      </w:r>
      <w:bookmarkStart w:id="3" w:name="_Hlk97504004"/>
      <w:r>
        <w:rPr>
          <w:rFonts w:eastAsia="仿宋_GB2312"/>
          <w:b/>
          <w:sz w:val="32"/>
          <w:szCs w:val="32"/>
        </w:rPr>
        <w:t>报告年度工程研究中心建设与运行经费</w:t>
      </w:r>
      <w:bookmarkEnd w:id="3"/>
      <w:r>
        <w:rPr>
          <w:rFonts w:eastAsia="仿宋_GB2312"/>
          <w:b/>
          <w:sz w:val="32"/>
          <w:szCs w:val="32"/>
        </w:rPr>
        <w:t>：</w:t>
      </w:r>
      <w:r>
        <w:rPr>
          <w:rFonts w:eastAsia="仿宋_GB2312"/>
          <w:bCs/>
          <w:sz w:val="32"/>
          <w:szCs w:val="32"/>
        </w:rPr>
        <w:t>指报告年度高校及科研院所当年投入的用于工程研究中心建设与运行的经费数额。</w:t>
      </w:r>
    </w:p>
    <w:p w14:paraId="29BC2BC6">
      <w:pPr>
        <w:spacing w:line="560" w:lineRule="exact"/>
        <w:ind w:firstLine="640" w:firstLineChars="200"/>
        <w:rPr>
          <w:rFonts w:eastAsia="仿宋_GB2312"/>
          <w:sz w:val="32"/>
          <w:szCs w:val="32"/>
        </w:rPr>
      </w:pPr>
      <w:r>
        <w:rPr>
          <w:rFonts w:eastAsia="仿宋_GB2312"/>
          <w:sz w:val="32"/>
          <w:szCs w:val="32"/>
        </w:rPr>
        <w:t>证明材料：审计报告或财务报表，须加盖公章。</w:t>
      </w:r>
    </w:p>
    <w:p w14:paraId="32E8114A">
      <w:pPr>
        <w:spacing w:line="560" w:lineRule="exact"/>
        <w:ind w:firstLine="643" w:firstLineChars="200"/>
        <w:rPr>
          <w:rFonts w:eastAsia="仿宋_GB2312"/>
          <w:sz w:val="32"/>
          <w:szCs w:val="32"/>
        </w:rPr>
      </w:pPr>
      <w:r>
        <w:rPr>
          <w:rFonts w:eastAsia="仿宋_GB2312"/>
          <w:b/>
          <w:sz w:val="32"/>
          <w:szCs w:val="32"/>
        </w:rPr>
        <w:t>10. 报告年度来工程研究中心从事研发工作的外部专家人月</w:t>
      </w:r>
      <w:r>
        <w:rPr>
          <w:rFonts w:eastAsia="仿宋_GB2312"/>
          <w:sz w:val="32"/>
          <w:szCs w:val="32"/>
        </w:rPr>
        <w:t>：指报告年度来工程研究中心从事研究、技术开发工作的具有较高科技开发能力的海内外专家累计人月。最小统计单位为：0.5人月。</w:t>
      </w:r>
    </w:p>
    <w:p w14:paraId="0BEC0CDE">
      <w:pPr>
        <w:spacing w:line="560" w:lineRule="exact"/>
        <w:ind w:firstLine="640" w:firstLineChars="200"/>
        <w:rPr>
          <w:rFonts w:eastAsia="仿宋_GB2312"/>
          <w:sz w:val="32"/>
          <w:szCs w:val="32"/>
        </w:rPr>
      </w:pPr>
      <w:r>
        <w:rPr>
          <w:rFonts w:eastAsia="仿宋_GB2312"/>
          <w:sz w:val="32"/>
          <w:szCs w:val="32"/>
        </w:rPr>
        <w:t>证明材料：外部专家聘任证书、劳务合同以及相应的专家证明材料（学历、职称和获奖证书等）等。</w:t>
      </w:r>
    </w:p>
    <w:p w14:paraId="79B650F9">
      <w:pPr>
        <w:spacing w:line="560" w:lineRule="exact"/>
        <w:ind w:firstLine="643" w:firstLineChars="200"/>
        <w:rPr>
          <w:rFonts w:eastAsia="仿宋_GB2312"/>
          <w:sz w:val="32"/>
          <w:szCs w:val="32"/>
        </w:rPr>
      </w:pPr>
      <w:r>
        <w:rPr>
          <w:rFonts w:eastAsia="仿宋_GB2312"/>
          <w:b/>
          <w:bCs/>
          <w:sz w:val="32"/>
          <w:szCs w:val="32"/>
        </w:rPr>
        <w:t>11.</w:t>
      </w:r>
      <w:r>
        <w:rPr>
          <w:rFonts w:eastAsia="仿宋_GB2312"/>
          <w:sz w:val="32"/>
          <w:szCs w:val="32"/>
        </w:rPr>
        <w:t xml:space="preserve"> </w:t>
      </w:r>
      <w:r>
        <w:rPr>
          <w:rFonts w:eastAsia="仿宋_GB2312"/>
          <w:b/>
          <w:sz w:val="32"/>
          <w:szCs w:val="32"/>
        </w:rPr>
        <w:t>通过国家（国际组织）和省市认证（认可）的实验室和检测机构数</w:t>
      </w:r>
      <w:r>
        <w:rPr>
          <w:rFonts w:eastAsia="仿宋_GB2312"/>
          <w:sz w:val="32"/>
          <w:szCs w:val="32"/>
        </w:rPr>
        <w:t>：指承担单位建设的，通过中华人民共和国有关国家部门、国际组织和省、市有关部门认证认可的、仍在有效期内的实验室、检验检测机构数。</w:t>
      </w:r>
    </w:p>
    <w:p w14:paraId="624D66BA">
      <w:pPr>
        <w:spacing w:line="560" w:lineRule="exact"/>
        <w:ind w:firstLine="640" w:firstLineChars="200"/>
        <w:rPr>
          <w:rFonts w:eastAsia="仿宋_GB2312"/>
          <w:sz w:val="32"/>
          <w:szCs w:val="32"/>
        </w:rPr>
      </w:pPr>
      <w:r>
        <w:rPr>
          <w:rFonts w:eastAsia="仿宋_GB2312"/>
          <w:sz w:val="32"/>
          <w:szCs w:val="32"/>
        </w:rPr>
        <w:t>证明材料：国家、国际组织或省、市认定（认可）的实验室、检测中心证明文件等。</w:t>
      </w:r>
    </w:p>
    <w:p w14:paraId="4E6ADA97">
      <w:pPr>
        <w:spacing w:line="560" w:lineRule="exact"/>
        <w:ind w:firstLine="643" w:firstLineChars="200"/>
        <w:rPr>
          <w:rFonts w:eastAsia="仿宋_GB2312"/>
          <w:sz w:val="32"/>
          <w:szCs w:val="32"/>
        </w:rPr>
      </w:pPr>
      <w:r>
        <w:rPr>
          <w:rFonts w:eastAsia="仿宋_GB2312"/>
          <w:b/>
          <w:bCs/>
          <w:sz w:val="32"/>
          <w:szCs w:val="32"/>
        </w:rPr>
        <w:t>12. 承担单位全部在研项目数：</w:t>
      </w:r>
      <w:r>
        <w:rPr>
          <w:rFonts w:eastAsia="仿宋_GB2312"/>
          <w:sz w:val="32"/>
          <w:szCs w:val="32"/>
        </w:rPr>
        <w:t>承担单位在报告年度当年立项并开展研发（制）工作、以前年份立项仍继续进行研发（制）的研究开发项目或课题，包括当年完成和年内研发工作已告失败的项目，不包括委托外单位进行研发的项目。</w:t>
      </w:r>
    </w:p>
    <w:p w14:paraId="7450B7B5">
      <w:pPr>
        <w:spacing w:line="560" w:lineRule="exact"/>
        <w:ind w:firstLine="640" w:firstLineChars="200"/>
        <w:rPr>
          <w:rFonts w:eastAsia="仿宋_GB2312"/>
          <w:sz w:val="32"/>
          <w:szCs w:val="32"/>
        </w:rPr>
      </w:pPr>
      <w:r>
        <w:rPr>
          <w:rFonts w:eastAsia="仿宋_GB2312"/>
          <w:sz w:val="32"/>
          <w:szCs w:val="32"/>
        </w:rPr>
        <w:t>证明材料：企业研究开发项目情况表（即表107-1）及全部研发项目的立项证明文件等。</w:t>
      </w:r>
    </w:p>
    <w:p w14:paraId="57A48753">
      <w:pPr>
        <w:spacing w:line="560" w:lineRule="exact"/>
        <w:ind w:firstLine="643" w:firstLineChars="200"/>
        <w:rPr>
          <w:rFonts w:eastAsia="仿宋_GB2312"/>
          <w:sz w:val="32"/>
          <w:szCs w:val="32"/>
        </w:rPr>
      </w:pPr>
      <w:r>
        <w:rPr>
          <w:rFonts w:eastAsia="仿宋_GB2312"/>
          <w:b/>
          <w:bCs/>
          <w:sz w:val="32"/>
          <w:szCs w:val="32"/>
        </w:rPr>
        <w:t>13.承担单位近三年被受理的专利申请数：</w:t>
      </w:r>
      <w:r>
        <w:rPr>
          <w:rFonts w:eastAsia="仿宋_GB2312"/>
          <w:sz w:val="32"/>
          <w:szCs w:val="32"/>
        </w:rPr>
        <w:t>指在报告年度、报告年度前一年、报告年度前二年承担单位向专利行政部门提出专利申请并被受理的专利件数（包含发明、实用新型和外观设计）。植物新品种、国家级农作物品种、国家新药、国家一级中药保护品种、集成电路布图设计专有权视同发明专利。</w:t>
      </w:r>
    </w:p>
    <w:p w14:paraId="5DE85CA2">
      <w:pPr>
        <w:spacing w:line="560" w:lineRule="exact"/>
        <w:ind w:firstLine="640" w:firstLineChars="200"/>
        <w:rPr>
          <w:rFonts w:eastAsia="仿宋_GB2312"/>
          <w:sz w:val="32"/>
          <w:szCs w:val="32"/>
        </w:rPr>
      </w:pPr>
      <w:r>
        <w:rPr>
          <w:rFonts w:eastAsia="仿宋_GB2312"/>
          <w:sz w:val="32"/>
          <w:szCs w:val="32"/>
        </w:rPr>
        <w:t>证明材料：近三年企业获得的知识产权专利申请受理通知书等。</w:t>
      </w:r>
    </w:p>
    <w:p w14:paraId="363698C1">
      <w:pPr>
        <w:spacing w:line="560" w:lineRule="exact"/>
        <w:ind w:firstLine="643" w:firstLineChars="200"/>
        <w:rPr>
          <w:rFonts w:eastAsia="仿宋_GB2312"/>
          <w:sz w:val="32"/>
          <w:szCs w:val="32"/>
        </w:rPr>
      </w:pPr>
      <w:r>
        <w:rPr>
          <w:rFonts w:eastAsia="仿宋_GB2312"/>
          <w:b/>
          <w:bCs/>
          <w:sz w:val="32"/>
          <w:szCs w:val="32"/>
        </w:rPr>
        <w:t>14.</w:t>
      </w:r>
      <w:r>
        <w:rPr>
          <w:b/>
          <w:bCs/>
        </w:rPr>
        <w:t xml:space="preserve"> </w:t>
      </w:r>
      <w:r>
        <w:rPr>
          <w:rFonts w:eastAsia="仿宋_GB2312"/>
          <w:b/>
          <w:bCs/>
          <w:sz w:val="32"/>
          <w:szCs w:val="32"/>
        </w:rPr>
        <w:t>承担单位近三年被受理的发明专利申请数：</w:t>
      </w:r>
      <w:r>
        <w:rPr>
          <w:rFonts w:eastAsia="仿宋_GB2312"/>
          <w:sz w:val="32"/>
          <w:szCs w:val="32"/>
        </w:rPr>
        <w:t>指在报告年度、报告年度前一年、报告年度前二年承担单位向专利行政部门提出专利申请并被受理的发明专利件数。植物新品种、国家级农作物品种、国家新药、国家一级中药保护品种、集成电路布图设计专有权视同发明专利。</w:t>
      </w:r>
    </w:p>
    <w:p w14:paraId="678EFF26">
      <w:pPr>
        <w:spacing w:line="560" w:lineRule="exact"/>
        <w:ind w:firstLine="640" w:firstLineChars="200"/>
        <w:rPr>
          <w:rFonts w:eastAsia="仿宋_GB2312"/>
          <w:sz w:val="32"/>
          <w:szCs w:val="32"/>
        </w:rPr>
      </w:pPr>
      <w:r>
        <w:rPr>
          <w:rFonts w:eastAsia="仿宋_GB2312"/>
          <w:sz w:val="32"/>
          <w:szCs w:val="32"/>
        </w:rPr>
        <w:t>证明材料：近三年企业获得的知识产权专利申请受理通知书等。</w:t>
      </w:r>
    </w:p>
    <w:p w14:paraId="73DF493E">
      <w:pPr>
        <w:spacing w:line="560" w:lineRule="exact"/>
        <w:ind w:firstLine="643" w:firstLineChars="200"/>
        <w:rPr>
          <w:rFonts w:eastAsia="仿宋_GB2312"/>
          <w:sz w:val="32"/>
          <w:szCs w:val="32"/>
        </w:rPr>
      </w:pPr>
      <w:r>
        <w:rPr>
          <w:rFonts w:eastAsia="仿宋_GB2312"/>
          <w:b/>
          <w:bCs/>
          <w:sz w:val="32"/>
          <w:szCs w:val="32"/>
        </w:rPr>
        <w:t>15.</w:t>
      </w:r>
      <w:r>
        <w:t xml:space="preserve"> </w:t>
      </w:r>
      <w:r>
        <w:rPr>
          <w:rFonts w:eastAsia="仿宋_GB2312"/>
          <w:b/>
          <w:bCs/>
          <w:sz w:val="32"/>
          <w:szCs w:val="32"/>
        </w:rPr>
        <w:t>承担单位拥有的全部有效发明专利数：</w:t>
      </w:r>
      <w:r>
        <w:rPr>
          <w:rFonts w:eastAsia="仿宋_GB2312"/>
          <w:sz w:val="32"/>
          <w:szCs w:val="32"/>
        </w:rPr>
        <w:t>截至报告年度期末，承担单位作为专利权人拥有的、经国内外知识产权行政部门授予且在有效期内的发明专利件数。拥有的植物新品种、国家级农作物品种、国家新药、国家一级中药保护品种、集成电路布图设计专有权视同发明专利。</w:t>
      </w:r>
    </w:p>
    <w:p w14:paraId="5809B3B4">
      <w:pPr>
        <w:spacing w:line="560" w:lineRule="exact"/>
        <w:ind w:firstLine="640" w:firstLineChars="200"/>
        <w:rPr>
          <w:rFonts w:eastAsia="仿宋_GB2312"/>
          <w:sz w:val="32"/>
          <w:szCs w:val="32"/>
        </w:rPr>
      </w:pPr>
      <w:r>
        <w:rPr>
          <w:rFonts w:eastAsia="仿宋_GB2312"/>
          <w:sz w:val="32"/>
          <w:szCs w:val="32"/>
        </w:rPr>
        <w:t>证明材料：获得的具有全部知识产权的专利授权证书、有效专利缴纳年费证明等。</w:t>
      </w:r>
    </w:p>
    <w:p w14:paraId="073FD4B0">
      <w:pPr>
        <w:spacing w:line="560" w:lineRule="exact"/>
        <w:ind w:firstLine="643" w:firstLineChars="200"/>
        <w:rPr>
          <w:rFonts w:eastAsia="仿宋_GB2312"/>
          <w:sz w:val="32"/>
          <w:szCs w:val="32"/>
        </w:rPr>
      </w:pPr>
      <w:r>
        <w:rPr>
          <w:rFonts w:eastAsia="仿宋_GB2312"/>
          <w:b/>
          <w:bCs/>
          <w:sz w:val="32"/>
          <w:szCs w:val="32"/>
        </w:rPr>
        <w:t>16. 承担单位近三年获市级以上自然科学、技术发明、科技进步奖项目数项：</w:t>
      </w:r>
      <w:r>
        <w:rPr>
          <w:rFonts w:eastAsia="仿宋_GB2312"/>
          <w:sz w:val="32"/>
          <w:szCs w:val="32"/>
        </w:rPr>
        <w:t>指承担单位在报告年度、报告年度前一年、报告年度前二年获得的由国务院设立并颁发的“国家自然科学奖”、“国家技术发明奖”和“国家科学技术进步奖”及由省、市政府设立的科技进步奖项目数。</w:t>
      </w:r>
    </w:p>
    <w:p w14:paraId="36CF24AD">
      <w:pPr>
        <w:spacing w:line="560" w:lineRule="exact"/>
        <w:ind w:firstLine="640" w:firstLineChars="200"/>
        <w:rPr>
          <w:rFonts w:eastAsia="仿宋_GB2312"/>
          <w:sz w:val="32"/>
          <w:szCs w:val="32"/>
        </w:rPr>
      </w:pPr>
      <w:r>
        <w:rPr>
          <w:rFonts w:eastAsia="仿宋_GB2312"/>
          <w:sz w:val="32"/>
          <w:szCs w:val="32"/>
        </w:rPr>
        <w:t>证明材料：承担单位获得的市级以上重要科技奖励证明等。</w:t>
      </w:r>
    </w:p>
    <w:p w14:paraId="43BED84A">
      <w:pPr>
        <w:spacing w:line="560" w:lineRule="exact"/>
        <w:ind w:firstLine="643" w:firstLineChars="200"/>
        <w:rPr>
          <w:rFonts w:eastAsia="仿宋_GB2312"/>
          <w:sz w:val="32"/>
          <w:szCs w:val="32"/>
        </w:rPr>
      </w:pPr>
      <w:r>
        <w:rPr>
          <w:rFonts w:eastAsia="仿宋_GB2312"/>
          <w:b/>
          <w:bCs/>
          <w:sz w:val="32"/>
          <w:szCs w:val="32"/>
        </w:rPr>
        <w:t>17.</w:t>
      </w:r>
      <w:r>
        <w:rPr>
          <w:b/>
          <w:bCs/>
        </w:rPr>
        <w:t xml:space="preserve"> </w:t>
      </w:r>
      <w:r>
        <w:rPr>
          <w:rFonts w:eastAsia="仿宋_GB2312"/>
          <w:b/>
          <w:bCs/>
          <w:sz w:val="32"/>
          <w:szCs w:val="32"/>
        </w:rPr>
        <w:t>承担单位近三年主持和参加制定的国际、国家、行业和地方标准数：</w:t>
      </w:r>
      <w:r>
        <w:rPr>
          <w:rFonts w:eastAsia="仿宋_GB2312"/>
          <w:sz w:val="32"/>
          <w:szCs w:val="32"/>
        </w:rPr>
        <w:t>指承担单位在报告年度、报告年度前一年、报告年度前二年主持或参加制定，目前仍有效执行的国际、国家、行业和地方标准的数量。</w:t>
      </w:r>
    </w:p>
    <w:p w14:paraId="0B7C67C0">
      <w:pPr>
        <w:spacing w:line="560" w:lineRule="exact"/>
        <w:ind w:firstLine="640" w:firstLineChars="200"/>
        <w:rPr>
          <w:rFonts w:eastAsia="仿宋_GB2312"/>
          <w:b/>
          <w:bCs/>
          <w:sz w:val="32"/>
          <w:szCs w:val="32"/>
        </w:rPr>
      </w:pPr>
      <w:r>
        <w:rPr>
          <w:rFonts w:eastAsia="仿宋_GB2312"/>
          <w:sz w:val="32"/>
          <w:szCs w:val="32"/>
        </w:rPr>
        <w:t>证明材料：主持和参与制定国际、国家和行业标准的证明等。</w:t>
      </w:r>
    </w:p>
    <w:p w14:paraId="3EA4F48F">
      <w:pPr>
        <w:spacing w:line="560" w:lineRule="exact"/>
        <w:ind w:firstLine="643" w:firstLineChars="200"/>
        <w:rPr>
          <w:rFonts w:eastAsia="仿宋_GB2312"/>
          <w:sz w:val="32"/>
          <w:szCs w:val="32"/>
        </w:rPr>
      </w:pPr>
      <w:r>
        <w:rPr>
          <w:rFonts w:eastAsia="仿宋_GB2312"/>
          <w:b/>
          <w:bCs/>
          <w:sz w:val="32"/>
          <w:szCs w:val="32"/>
        </w:rPr>
        <w:t>18. 报告年度工程研究中心获得的技术性收入：</w:t>
      </w:r>
      <w:r>
        <w:rPr>
          <w:rFonts w:eastAsia="仿宋_GB2312"/>
          <w:sz w:val="32"/>
          <w:szCs w:val="32"/>
        </w:rPr>
        <w:t>报告年度内，工程研究中心通过研发和技术创新活动取得的收入总和，包括技术转让收入（指工程研究中心技术创新成果通过技术贸易、技术转让所获得的收入）、技术服务收入（指工程研究中心利用自有资源为外部用户提供技术资料、技术咨询与市场评估、工程技术项目设计、数据处理、测试分析及其他类型的服务所获得的收入）和接受委托研究开发收入（指工程研究中心承担社会各方面委托研究开发、中间试验及新产品开发所获得的收入）。</w:t>
      </w:r>
    </w:p>
    <w:p w14:paraId="5946FA8C">
      <w:pPr>
        <w:spacing w:line="560" w:lineRule="exact"/>
        <w:ind w:firstLine="640" w:firstLineChars="200"/>
        <w:rPr>
          <w:rFonts w:eastAsia="仿宋_GB2312"/>
          <w:sz w:val="32"/>
          <w:szCs w:val="32"/>
        </w:rPr>
      </w:pPr>
      <w:r>
        <w:rPr>
          <w:rFonts w:eastAsia="仿宋_GB2312"/>
          <w:sz w:val="32"/>
          <w:szCs w:val="32"/>
        </w:rPr>
        <w:t>证明材料：技术转让收入合同、技术使用收入合同、技术服务收入合同、接受委托研究开发合同的扫描件。按类型顺序依次排列。</w:t>
      </w:r>
    </w:p>
    <w:p w14:paraId="1306BC95">
      <w:pPr>
        <w:spacing w:line="560" w:lineRule="exact"/>
        <w:ind w:firstLine="643" w:firstLineChars="200"/>
        <w:rPr>
          <w:rFonts w:eastAsia="仿宋_GB2312"/>
          <w:sz w:val="32"/>
          <w:szCs w:val="32"/>
        </w:rPr>
      </w:pPr>
      <w:r>
        <w:rPr>
          <w:rFonts w:eastAsia="仿宋_GB2312"/>
          <w:b/>
          <w:bCs/>
          <w:sz w:val="32"/>
          <w:szCs w:val="32"/>
        </w:rPr>
        <w:t>19.</w:t>
      </w:r>
      <w:r>
        <w:rPr>
          <w:b/>
          <w:bCs/>
        </w:rPr>
        <w:t xml:space="preserve"> </w:t>
      </w:r>
      <w:r>
        <w:rPr>
          <w:rFonts w:eastAsia="仿宋_GB2312"/>
          <w:b/>
          <w:bCs/>
          <w:sz w:val="32"/>
          <w:szCs w:val="32"/>
        </w:rPr>
        <w:t>报告年度工程研究中心成果产业化形成的经济效益：</w:t>
      </w:r>
      <w:r>
        <w:rPr>
          <w:rFonts w:eastAsia="仿宋_GB2312"/>
          <w:sz w:val="32"/>
          <w:szCs w:val="32"/>
        </w:rPr>
        <w:t>报告年度内，采用工程研究中心科研成果生产的产品实现的销售收入。</w:t>
      </w:r>
    </w:p>
    <w:p w14:paraId="047D4CF1">
      <w:pPr>
        <w:spacing w:line="560" w:lineRule="exact"/>
        <w:ind w:firstLine="640" w:firstLineChars="200"/>
        <w:rPr>
          <w:rFonts w:eastAsia="仿宋_GB2312"/>
          <w:sz w:val="32"/>
          <w:szCs w:val="32"/>
        </w:rPr>
      </w:pPr>
      <w:r>
        <w:rPr>
          <w:rFonts w:eastAsia="仿宋_GB2312"/>
          <w:sz w:val="32"/>
          <w:szCs w:val="32"/>
        </w:rPr>
        <w:t>证明材料：科研成果产业化合同及销售产品实现的销售收入证明材料等。直接在工程研究中心承担单位产业化的也可提供能证明科研成果由工程研究中心取得的其他证明材料，代替产业化合同。</w:t>
      </w:r>
    </w:p>
    <w:p w14:paraId="55FD5E7D">
      <w:pPr>
        <w:spacing w:line="560" w:lineRule="exact"/>
        <w:ind w:firstLine="643" w:firstLineChars="200"/>
        <w:rPr>
          <w:rFonts w:eastAsia="仿宋_GB2312"/>
          <w:sz w:val="32"/>
          <w:szCs w:val="32"/>
        </w:rPr>
      </w:pPr>
      <w:r>
        <w:rPr>
          <w:rFonts w:eastAsia="仿宋_GB2312"/>
          <w:b/>
          <w:bCs/>
          <w:sz w:val="32"/>
          <w:szCs w:val="32"/>
        </w:rPr>
        <w:t>20.</w:t>
      </w:r>
      <w:r>
        <w:rPr>
          <w:b/>
          <w:bCs/>
        </w:rPr>
        <w:t xml:space="preserve"> </w:t>
      </w:r>
      <w:r>
        <w:rPr>
          <w:rFonts w:eastAsia="仿宋_GB2312"/>
          <w:b/>
          <w:bCs/>
          <w:sz w:val="32"/>
          <w:szCs w:val="32"/>
        </w:rPr>
        <w:t>申报年度工程研究中心引进海外高层次人才数量：</w:t>
      </w:r>
      <w:r>
        <w:rPr>
          <w:rFonts w:eastAsia="仿宋_GB2312"/>
          <w:sz w:val="32"/>
          <w:szCs w:val="32"/>
        </w:rPr>
        <w:t>申报年度内</w:t>
      </w:r>
      <w:r>
        <w:rPr>
          <w:rFonts w:eastAsia="楷体_GB2312"/>
          <w:sz w:val="28"/>
          <w:szCs w:val="32"/>
        </w:rPr>
        <w:t>（2025年1月-12月）</w:t>
      </w:r>
      <w:r>
        <w:rPr>
          <w:rFonts w:eastAsia="仿宋_GB2312"/>
          <w:sz w:val="32"/>
          <w:szCs w:val="32"/>
        </w:rPr>
        <w:t>，工程研究中心从国（境）外已引进或拟引进的全职来华（回国）高层次专业技术人才数量。相关人才科研方向应属于世界科技前沿，符合国家经济和社会发展重大需求，且原则上取得博士学位并在海外著名高校、科研机构担任相当于副教授及以上职务或在国际知名企业担任高级职务。</w:t>
      </w:r>
    </w:p>
    <w:p w14:paraId="6F55890E">
      <w:pPr>
        <w:spacing w:line="560" w:lineRule="exact"/>
        <w:ind w:firstLine="640" w:firstLineChars="200"/>
        <w:rPr>
          <w:rFonts w:eastAsia="仿宋_GB2312"/>
          <w:sz w:val="32"/>
          <w:szCs w:val="32"/>
        </w:rPr>
      </w:pPr>
      <w:r>
        <w:rPr>
          <w:rFonts w:eastAsia="仿宋_GB2312"/>
          <w:sz w:val="32"/>
          <w:szCs w:val="32"/>
        </w:rPr>
        <w:t>证明材料：博士学位证书、职务或职称证书、海外任职证明材料、与承担单位签订的劳动合同或聘用协议（已引进人才提供）、科研成果或获奖证书以及主持（参与）的重大项目课题立项或任务书等相关证明文件。</w:t>
      </w:r>
    </w:p>
    <w:p w14:paraId="3F77D7FF">
      <w:pPr>
        <w:ind w:right="1283" w:rightChars="611"/>
        <w:rPr>
          <w:rFonts w:eastAsia="黑体"/>
          <w:color w:val="000000"/>
          <w:kern w:val="0"/>
          <w:sz w:val="32"/>
          <w:szCs w:val="32"/>
        </w:rPr>
      </w:pPr>
    </w:p>
    <w:sectPr>
      <w:headerReference r:id="rId5" w:type="default"/>
      <w:footerReference r:id="rId6" w:type="default"/>
      <w:footerReference r:id="rId7" w:type="even"/>
      <w:pgSz w:w="11906" w:h="16838"/>
      <w:pgMar w:top="2098" w:right="1474" w:bottom="1985" w:left="1588"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C812737-6A35-4E3E-86D3-A1520D6B526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embedRegular r:id="rId2" w:fontKey="{B80B0E4C-4AB0-4BD0-8BF3-9699FCA7FDBA}"/>
  </w:font>
  <w:font w:name="方正小标宋_GBK">
    <w:panose1 w:val="02000000000000000000"/>
    <w:charset w:val="86"/>
    <w:family w:val="script"/>
    <w:pitch w:val="default"/>
    <w:sig w:usb0="00000001" w:usb1="080E0000" w:usb2="00000000" w:usb3="00000000" w:csb0="00040000" w:csb1="00000000"/>
    <w:embedRegular r:id="rId3" w:fontKey="{87F81962-DD4A-43A8-B2C7-0A4868B38B1E}"/>
  </w:font>
  <w:font w:name="楷体_GB2312">
    <w:panose1 w:val="02010609030101010101"/>
    <w:charset w:val="86"/>
    <w:family w:val="modern"/>
    <w:pitch w:val="default"/>
    <w:sig w:usb0="00000001" w:usb1="080E0000" w:usb2="00000000" w:usb3="00000000" w:csb0="00040000" w:csb1="00000000"/>
    <w:embedRegular r:id="rId4" w:fontKey="{033B975F-956B-4CC1-B0F1-3C5DD23A807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773E8C">
    <w:pPr>
      <w:pStyle w:val="5"/>
      <w:framePr w:wrap="around" w:vAnchor="text" w:hAnchor="margin" w:xAlign="outside" w:y="1"/>
      <w:rPr>
        <w:rStyle w:val="10"/>
        <w:sz w:val="28"/>
        <w:szCs w:val="28"/>
      </w:rPr>
    </w:pPr>
    <w:r>
      <w:rPr>
        <w:sz w:val="28"/>
        <w:szCs w:val="28"/>
      </w:rPr>
      <w:t>―</w:t>
    </w:r>
    <w:r>
      <w:rPr>
        <w:rFonts w:hint="eastAsia"/>
        <w:sz w:val="28"/>
        <w:szCs w:val="28"/>
      </w:rPr>
      <w:t xml:space="preserve"> </w:t>
    </w:r>
    <w:r>
      <w:rPr>
        <w:sz w:val="28"/>
        <w:szCs w:val="28"/>
      </w:rPr>
      <w:fldChar w:fldCharType="begin"/>
    </w:r>
    <w:r>
      <w:rPr>
        <w:rStyle w:val="10"/>
        <w:sz w:val="28"/>
        <w:szCs w:val="28"/>
      </w:rPr>
      <w:instrText xml:space="preserve">PAGE  </w:instrText>
    </w:r>
    <w:r>
      <w:rPr>
        <w:sz w:val="28"/>
        <w:szCs w:val="28"/>
      </w:rPr>
      <w:fldChar w:fldCharType="separate"/>
    </w:r>
    <w:r>
      <w:rPr>
        <w:rStyle w:val="10"/>
        <w:sz w:val="28"/>
        <w:szCs w:val="28"/>
      </w:rPr>
      <w:t>60</w:t>
    </w:r>
    <w:r>
      <w:rPr>
        <w:sz w:val="28"/>
        <w:szCs w:val="28"/>
      </w:rPr>
      <w:fldChar w:fldCharType="end"/>
    </w:r>
    <w:r>
      <w:rPr>
        <w:rStyle w:val="10"/>
        <w:rFonts w:hint="eastAsia"/>
        <w:sz w:val="28"/>
        <w:szCs w:val="28"/>
      </w:rPr>
      <w:t xml:space="preserve"> </w:t>
    </w:r>
    <w:r>
      <w:rPr>
        <w:sz w:val="28"/>
        <w:szCs w:val="28"/>
      </w:rPr>
      <w:t>―</w:t>
    </w:r>
    <w:r>
      <w:rPr>
        <w:rFonts w:hint="eastAsia"/>
        <w:sz w:val="28"/>
        <w:szCs w:val="28"/>
      </w:rPr>
      <w:t xml:space="preserve">   </w:t>
    </w:r>
  </w:p>
  <w:p w14:paraId="49A7432C">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99836C">
    <w:pPr>
      <w:pStyle w:val="5"/>
      <w:framePr w:wrap="around" w:vAnchor="text" w:hAnchor="margin" w:xAlign="outside" w:y="1"/>
      <w:rPr>
        <w:rStyle w:val="10"/>
      </w:rPr>
    </w:pPr>
    <w:r>
      <w:fldChar w:fldCharType="begin"/>
    </w:r>
    <w:r>
      <w:rPr>
        <w:rStyle w:val="10"/>
      </w:rPr>
      <w:instrText xml:space="preserve">PAGE  </w:instrText>
    </w:r>
    <w:r>
      <w:fldChar w:fldCharType="end"/>
    </w:r>
  </w:p>
  <w:p w14:paraId="4C53ADDC">
    <w:pPr>
      <w:pStyle w:val="5"/>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21FD28">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gzMjk0MTMzYjdlM2ZlYTJhNjkyNWNhMGYyNTgwOTgifQ=="/>
  </w:docVars>
  <w:rsids>
    <w:rsidRoot w:val="008E6D7B"/>
    <w:rsid w:val="000043B6"/>
    <w:rsid w:val="00010932"/>
    <w:rsid w:val="000147ED"/>
    <w:rsid w:val="000213C4"/>
    <w:rsid w:val="00023A75"/>
    <w:rsid w:val="00036355"/>
    <w:rsid w:val="00040A68"/>
    <w:rsid w:val="00056604"/>
    <w:rsid w:val="00057216"/>
    <w:rsid w:val="000663E8"/>
    <w:rsid w:val="00074D6D"/>
    <w:rsid w:val="00082AC9"/>
    <w:rsid w:val="00094C39"/>
    <w:rsid w:val="000A022A"/>
    <w:rsid w:val="000A3923"/>
    <w:rsid w:val="000D2F34"/>
    <w:rsid w:val="000D3F9B"/>
    <w:rsid w:val="000D43C7"/>
    <w:rsid w:val="000E0E7B"/>
    <w:rsid w:val="000E0EB3"/>
    <w:rsid w:val="000E56FC"/>
    <w:rsid w:val="000E5D26"/>
    <w:rsid w:val="000F4014"/>
    <w:rsid w:val="00100B20"/>
    <w:rsid w:val="001109AF"/>
    <w:rsid w:val="001437BA"/>
    <w:rsid w:val="00145657"/>
    <w:rsid w:val="00157170"/>
    <w:rsid w:val="00165853"/>
    <w:rsid w:val="00170807"/>
    <w:rsid w:val="001773D3"/>
    <w:rsid w:val="00191B95"/>
    <w:rsid w:val="001A3476"/>
    <w:rsid w:val="001B71FE"/>
    <w:rsid w:val="001C4DE5"/>
    <w:rsid w:val="001D0C2A"/>
    <w:rsid w:val="001E128A"/>
    <w:rsid w:val="001E3985"/>
    <w:rsid w:val="001F0C7C"/>
    <w:rsid w:val="001F7F88"/>
    <w:rsid w:val="00212F90"/>
    <w:rsid w:val="002176C1"/>
    <w:rsid w:val="002265DE"/>
    <w:rsid w:val="00231B98"/>
    <w:rsid w:val="002362CC"/>
    <w:rsid w:val="00244F03"/>
    <w:rsid w:val="00246C74"/>
    <w:rsid w:val="00251041"/>
    <w:rsid w:val="00256E7D"/>
    <w:rsid w:val="00294AD1"/>
    <w:rsid w:val="002A2D58"/>
    <w:rsid w:val="002A3A4A"/>
    <w:rsid w:val="002A407B"/>
    <w:rsid w:val="002A730C"/>
    <w:rsid w:val="002B0568"/>
    <w:rsid w:val="002B7924"/>
    <w:rsid w:val="002D375E"/>
    <w:rsid w:val="002D590C"/>
    <w:rsid w:val="002D7532"/>
    <w:rsid w:val="002E5F64"/>
    <w:rsid w:val="002F59D3"/>
    <w:rsid w:val="002F7FE1"/>
    <w:rsid w:val="00310CB5"/>
    <w:rsid w:val="00321AF6"/>
    <w:rsid w:val="00325645"/>
    <w:rsid w:val="003306BC"/>
    <w:rsid w:val="0033666F"/>
    <w:rsid w:val="00340F6E"/>
    <w:rsid w:val="0034223C"/>
    <w:rsid w:val="0034265C"/>
    <w:rsid w:val="00352715"/>
    <w:rsid w:val="00361DDD"/>
    <w:rsid w:val="003624D6"/>
    <w:rsid w:val="0036455A"/>
    <w:rsid w:val="00365013"/>
    <w:rsid w:val="00391A01"/>
    <w:rsid w:val="00391FEA"/>
    <w:rsid w:val="0039202E"/>
    <w:rsid w:val="00397319"/>
    <w:rsid w:val="003B0D0A"/>
    <w:rsid w:val="003B51CF"/>
    <w:rsid w:val="003C4ED9"/>
    <w:rsid w:val="003C6ACD"/>
    <w:rsid w:val="003D3A26"/>
    <w:rsid w:val="003D4260"/>
    <w:rsid w:val="003D6FA9"/>
    <w:rsid w:val="003E55A2"/>
    <w:rsid w:val="003E7BDE"/>
    <w:rsid w:val="003F097F"/>
    <w:rsid w:val="003F51B3"/>
    <w:rsid w:val="003F6B3B"/>
    <w:rsid w:val="004059E0"/>
    <w:rsid w:val="00412119"/>
    <w:rsid w:val="00432EA1"/>
    <w:rsid w:val="00440F0B"/>
    <w:rsid w:val="004435B4"/>
    <w:rsid w:val="00445AAD"/>
    <w:rsid w:val="00445AE1"/>
    <w:rsid w:val="004528D1"/>
    <w:rsid w:val="0047091A"/>
    <w:rsid w:val="00473494"/>
    <w:rsid w:val="004810BC"/>
    <w:rsid w:val="0048275B"/>
    <w:rsid w:val="00482A55"/>
    <w:rsid w:val="004A2735"/>
    <w:rsid w:val="004C0029"/>
    <w:rsid w:val="004E25C5"/>
    <w:rsid w:val="005025E4"/>
    <w:rsid w:val="00511DD9"/>
    <w:rsid w:val="00517DD6"/>
    <w:rsid w:val="005331C6"/>
    <w:rsid w:val="00536DBE"/>
    <w:rsid w:val="00540772"/>
    <w:rsid w:val="00543AF1"/>
    <w:rsid w:val="00546769"/>
    <w:rsid w:val="0056441E"/>
    <w:rsid w:val="005849F0"/>
    <w:rsid w:val="00585AEF"/>
    <w:rsid w:val="00590D12"/>
    <w:rsid w:val="00593422"/>
    <w:rsid w:val="00596A18"/>
    <w:rsid w:val="005B3F34"/>
    <w:rsid w:val="005B5768"/>
    <w:rsid w:val="005C55DD"/>
    <w:rsid w:val="005D7068"/>
    <w:rsid w:val="005E677D"/>
    <w:rsid w:val="005E7F61"/>
    <w:rsid w:val="0060282C"/>
    <w:rsid w:val="00617318"/>
    <w:rsid w:val="00632FA6"/>
    <w:rsid w:val="00634852"/>
    <w:rsid w:val="006539AA"/>
    <w:rsid w:val="00673DCE"/>
    <w:rsid w:val="00675040"/>
    <w:rsid w:val="00687027"/>
    <w:rsid w:val="006A2DF8"/>
    <w:rsid w:val="006A7ADA"/>
    <w:rsid w:val="006C38C9"/>
    <w:rsid w:val="006D2377"/>
    <w:rsid w:val="006E26D8"/>
    <w:rsid w:val="006E5893"/>
    <w:rsid w:val="006F72BF"/>
    <w:rsid w:val="00704721"/>
    <w:rsid w:val="00712186"/>
    <w:rsid w:val="00724B82"/>
    <w:rsid w:val="00725F9D"/>
    <w:rsid w:val="00726C81"/>
    <w:rsid w:val="00732C5F"/>
    <w:rsid w:val="00741F70"/>
    <w:rsid w:val="007452F6"/>
    <w:rsid w:val="00745859"/>
    <w:rsid w:val="00761379"/>
    <w:rsid w:val="00767338"/>
    <w:rsid w:val="0077061B"/>
    <w:rsid w:val="00774EFC"/>
    <w:rsid w:val="00776EB2"/>
    <w:rsid w:val="00780445"/>
    <w:rsid w:val="0079130B"/>
    <w:rsid w:val="007948E4"/>
    <w:rsid w:val="007970E9"/>
    <w:rsid w:val="007A1DE2"/>
    <w:rsid w:val="007B598B"/>
    <w:rsid w:val="007C1C68"/>
    <w:rsid w:val="007C7637"/>
    <w:rsid w:val="007D1D55"/>
    <w:rsid w:val="007E6A96"/>
    <w:rsid w:val="007F228D"/>
    <w:rsid w:val="007F2A55"/>
    <w:rsid w:val="007F4236"/>
    <w:rsid w:val="007F460A"/>
    <w:rsid w:val="00800D4B"/>
    <w:rsid w:val="00800F43"/>
    <w:rsid w:val="00801859"/>
    <w:rsid w:val="00807E98"/>
    <w:rsid w:val="00817AD3"/>
    <w:rsid w:val="008316B3"/>
    <w:rsid w:val="008645CE"/>
    <w:rsid w:val="00867863"/>
    <w:rsid w:val="00871360"/>
    <w:rsid w:val="00887E20"/>
    <w:rsid w:val="008A4441"/>
    <w:rsid w:val="008A6B73"/>
    <w:rsid w:val="008B0ACA"/>
    <w:rsid w:val="008B0B15"/>
    <w:rsid w:val="008B1F07"/>
    <w:rsid w:val="008B2B9B"/>
    <w:rsid w:val="008B3EDC"/>
    <w:rsid w:val="008B5740"/>
    <w:rsid w:val="008C3C3E"/>
    <w:rsid w:val="008D5A9D"/>
    <w:rsid w:val="008E270A"/>
    <w:rsid w:val="008E4163"/>
    <w:rsid w:val="008E4738"/>
    <w:rsid w:val="008E6D7B"/>
    <w:rsid w:val="008F2B39"/>
    <w:rsid w:val="008F693F"/>
    <w:rsid w:val="00914565"/>
    <w:rsid w:val="009359FA"/>
    <w:rsid w:val="0093653B"/>
    <w:rsid w:val="0094253A"/>
    <w:rsid w:val="00944A04"/>
    <w:rsid w:val="00946311"/>
    <w:rsid w:val="0095094A"/>
    <w:rsid w:val="00952A27"/>
    <w:rsid w:val="00971FBC"/>
    <w:rsid w:val="0097331A"/>
    <w:rsid w:val="00985A6B"/>
    <w:rsid w:val="00985FA1"/>
    <w:rsid w:val="009904BD"/>
    <w:rsid w:val="00991F66"/>
    <w:rsid w:val="009956B6"/>
    <w:rsid w:val="009A2310"/>
    <w:rsid w:val="009A55C1"/>
    <w:rsid w:val="009B0D76"/>
    <w:rsid w:val="009B513A"/>
    <w:rsid w:val="009B6074"/>
    <w:rsid w:val="009B7200"/>
    <w:rsid w:val="009D4E61"/>
    <w:rsid w:val="009D5B91"/>
    <w:rsid w:val="009D6E53"/>
    <w:rsid w:val="009E0486"/>
    <w:rsid w:val="009E1701"/>
    <w:rsid w:val="00A03423"/>
    <w:rsid w:val="00A10B3F"/>
    <w:rsid w:val="00A14F9E"/>
    <w:rsid w:val="00A168F5"/>
    <w:rsid w:val="00A2212C"/>
    <w:rsid w:val="00A2214B"/>
    <w:rsid w:val="00A33811"/>
    <w:rsid w:val="00A34797"/>
    <w:rsid w:val="00A5736F"/>
    <w:rsid w:val="00A57EC4"/>
    <w:rsid w:val="00A617E8"/>
    <w:rsid w:val="00A65BB5"/>
    <w:rsid w:val="00A674E5"/>
    <w:rsid w:val="00A702EC"/>
    <w:rsid w:val="00A851DC"/>
    <w:rsid w:val="00AB0363"/>
    <w:rsid w:val="00AC1CAA"/>
    <w:rsid w:val="00AD5AC5"/>
    <w:rsid w:val="00AE03CF"/>
    <w:rsid w:val="00AE427A"/>
    <w:rsid w:val="00AE5EAE"/>
    <w:rsid w:val="00AE62F4"/>
    <w:rsid w:val="00AF2CB8"/>
    <w:rsid w:val="00AF49F4"/>
    <w:rsid w:val="00B07055"/>
    <w:rsid w:val="00B15291"/>
    <w:rsid w:val="00B1646B"/>
    <w:rsid w:val="00B17635"/>
    <w:rsid w:val="00B32D4B"/>
    <w:rsid w:val="00B42A43"/>
    <w:rsid w:val="00B5167D"/>
    <w:rsid w:val="00B64E8D"/>
    <w:rsid w:val="00B90F87"/>
    <w:rsid w:val="00B91EBD"/>
    <w:rsid w:val="00B92013"/>
    <w:rsid w:val="00B96C73"/>
    <w:rsid w:val="00BA0BC5"/>
    <w:rsid w:val="00BB1E1B"/>
    <w:rsid w:val="00BB7149"/>
    <w:rsid w:val="00BC227D"/>
    <w:rsid w:val="00BC50E4"/>
    <w:rsid w:val="00BD4037"/>
    <w:rsid w:val="00BE0D59"/>
    <w:rsid w:val="00BE2BEF"/>
    <w:rsid w:val="00C07CF9"/>
    <w:rsid w:val="00C138F4"/>
    <w:rsid w:val="00C17293"/>
    <w:rsid w:val="00C20840"/>
    <w:rsid w:val="00C227B1"/>
    <w:rsid w:val="00C26CA1"/>
    <w:rsid w:val="00C4043F"/>
    <w:rsid w:val="00C443C3"/>
    <w:rsid w:val="00C52AA2"/>
    <w:rsid w:val="00C61647"/>
    <w:rsid w:val="00C7429C"/>
    <w:rsid w:val="00C81F9B"/>
    <w:rsid w:val="00C82055"/>
    <w:rsid w:val="00C86429"/>
    <w:rsid w:val="00C96012"/>
    <w:rsid w:val="00CA13B2"/>
    <w:rsid w:val="00CB1716"/>
    <w:rsid w:val="00CB2E03"/>
    <w:rsid w:val="00CB411E"/>
    <w:rsid w:val="00CB7667"/>
    <w:rsid w:val="00CC2DB8"/>
    <w:rsid w:val="00CE14CC"/>
    <w:rsid w:val="00CE772C"/>
    <w:rsid w:val="00CF552B"/>
    <w:rsid w:val="00CF7101"/>
    <w:rsid w:val="00D00778"/>
    <w:rsid w:val="00D039CF"/>
    <w:rsid w:val="00D10B52"/>
    <w:rsid w:val="00D14E49"/>
    <w:rsid w:val="00D177D9"/>
    <w:rsid w:val="00D25D5E"/>
    <w:rsid w:val="00D332A2"/>
    <w:rsid w:val="00D36518"/>
    <w:rsid w:val="00D44364"/>
    <w:rsid w:val="00D458C9"/>
    <w:rsid w:val="00D46D80"/>
    <w:rsid w:val="00D561DB"/>
    <w:rsid w:val="00D7051B"/>
    <w:rsid w:val="00D7532E"/>
    <w:rsid w:val="00D819CA"/>
    <w:rsid w:val="00D8528F"/>
    <w:rsid w:val="00D85309"/>
    <w:rsid w:val="00D90435"/>
    <w:rsid w:val="00D94814"/>
    <w:rsid w:val="00D94A69"/>
    <w:rsid w:val="00D94F0A"/>
    <w:rsid w:val="00DA3108"/>
    <w:rsid w:val="00DB3FC6"/>
    <w:rsid w:val="00DC1619"/>
    <w:rsid w:val="00DD484B"/>
    <w:rsid w:val="00DD6A22"/>
    <w:rsid w:val="00DE3F32"/>
    <w:rsid w:val="00DE4C36"/>
    <w:rsid w:val="00DE5DD8"/>
    <w:rsid w:val="00DF0C45"/>
    <w:rsid w:val="00DF1A57"/>
    <w:rsid w:val="00DF2483"/>
    <w:rsid w:val="00DF713E"/>
    <w:rsid w:val="00E04DD4"/>
    <w:rsid w:val="00E05702"/>
    <w:rsid w:val="00E12929"/>
    <w:rsid w:val="00E163A0"/>
    <w:rsid w:val="00E27E0B"/>
    <w:rsid w:val="00E555D2"/>
    <w:rsid w:val="00E60518"/>
    <w:rsid w:val="00E637D1"/>
    <w:rsid w:val="00E74227"/>
    <w:rsid w:val="00E847E7"/>
    <w:rsid w:val="00E96B8B"/>
    <w:rsid w:val="00EA52B9"/>
    <w:rsid w:val="00EA53D5"/>
    <w:rsid w:val="00EB26C4"/>
    <w:rsid w:val="00EB3659"/>
    <w:rsid w:val="00EB5246"/>
    <w:rsid w:val="00EC1756"/>
    <w:rsid w:val="00EE2B31"/>
    <w:rsid w:val="00EE4FFA"/>
    <w:rsid w:val="00EE56FC"/>
    <w:rsid w:val="00EE6689"/>
    <w:rsid w:val="00EF40D4"/>
    <w:rsid w:val="00F019D5"/>
    <w:rsid w:val="00F100D2"/>
    <w:rsid w:val="00F12949"/>
    <w:rsid w:val="00F170AF"/>
    <w:rsid w:val="00F222DC"/>
    <w:rsid w:val="00F32A43"/>
    <w:rsid w:val="00F426B3"/>
    <w:rsid w:val="00F64EC1"/>
    <w:rsid w:val="00F65E68"/>
    <w:rsid w:val="00F80B84"/>
    <w:rsid w:val="00F8707A"/>
    <w:rsid w:val="00FB0225"/>
    <w:rsid w:val="00FF2DCF"/>
    <w:rsid w:val="00FF2DF3"/>
    <w:rsid w:val="00FF75DF"/>
    <w:rsid w:val="083704B9"/>
    <w:rsid w:val="09D53326"/>
    <w:rsid w:val="126607A7"/>
    <w:rsid w:val="15F44B36"/>
    <w:rsid w:val="162E2712"/>
    <w:rsid w:val="1B712127"/>
    <w:rsid w:val="1CF42E6E"/>
    <w:rsid w:val="1D227310"/>
    <w:rsid w:val="1F82424B"/>
    <w:rsid w:val="20E26732"/>
    <w:rsid w:val="25CF7050"/>
    <w:rsid w:val="298773E9"/>
    <w:rsid w:val="2C4E2ECE"/>
    <w:rsid w:val="2E251BA0"/>
    <w:rsid w:val="33331E0D"/>
    <w:rsid w:val="34DA0A32"/>
    <w:rsid w:val="37710A2F"/>
    <w:rsid w:val="3C6C51DA"/>
    <w:rsid w:val="3CD97D11"/>
    <w:rsid w:val="3F610607"/>
    <w:rsid w:val="425B5C37"/>
    <w:rsid w:val="437B6009"/>
    <w:rsid w:val="43A713E9"/>
    <w:rsid w:val="452B5A76"/>
    <w:rsid w:val="45394B60"/>
    <w:rsid w:val="4550785F"/>
    <w:rsid w:val="472519C2"/>
    <w:rsid w:val="4AD6546A"/>
    <w:rsid w:val="4B8E197C"/>
    <w:rsid w:val="4BF20B2D"/>
    <w:rsid w:val="4DAC79A9"/>
    <w:rsid w:val="50946800"/>
    <w:rsid w:val="520E6AD8"/>
    <w:rsid w:val="527E3C5D"/>
    <w:rsid w:val="534D4E12"/>
    <w:rsid w:val="5462237E"/>
    <w:rsid w:val="576D58F5"/>
    <w:rsid w:val="5B53055A"/>
    <w:rsid w:val="5BC67479"/>
    <w:rsid w:val="5F1D45A7"/>
    <w:rsid w:val="600F2399"/>
    <w:rsid w:val="63186DFE"/>
    <w:rsid w:val="636F54AF"/>
    <w:rsid w:val="652404E2"/>
    <w:rsid w:val="6571175B"/>
    <w:rsid w:val="67E1247B"/>
    <w:rsid w:val="68251C6A"/>
    <w:rsid w:val="69C97A5C"/>
    <w:rsid w:val="6AA531E1"/>
    <w:rsid w:val="6F96FDAE"/>
    <w:rsid w:val="717007BD"/>
    <w:rsid w:val="725E6AB2"/>
    <w:rsid w:val="736308DE"/>
    <w:rsid w:val="74EA165E"/>
    <w:rsid w:val="78574B7E"/>
    <w:rsid w:val="78926B91"/>
    <w:rsid w:val="7A1E52A4"/>
    <w:rsid w:val="7B0E1B85"/>
    <w:rsid w:val="7E80418E"/>
    <w:rsid w:val="CEE323F8"/>
    <w:rsid w:val="CFF91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Document Map"/>
    <w:basedOn w:val="1"/>
    <w:semiHidden/>
    <w:qFormat/>
    <w:uiPriority w:val="0"/>
    <w:pPr>
      <w:shd w:val="clear" w:color="auto" w:fill="000080"/>
    </w:pPr>
  </w:style>
  <w:style w:type="paragraph" w:styleId="3">
    <w:name w:val="Body Text"/>
    <w:basedOn w:val="1"/>
    <w:link w:val="11"/>
    <w:qFormat/>
    <w:uiPriority w:val="0"/>
    <w:pPr>
      <w:spacing w:after="120"/>
    </w:pPr>
    <w:rPr>
      <w:sz w:val="32"/>
    </w:rPr>
  </w:style>
  <w:style w:type="paragraph" w:styleId="4">
    <w:name w:val="Balloon Text"/>
    <w:basedOn w:val="1"/>
    <w:semiHidden/>
    <w:qFormat/>
    <w:uiPriority w:val="0"/>
    <w:rPr>
      <w:sz w:val="18"/>
      <w:szCs w:val="18"/>
    </w:rPr>
  </w:style>
  <w:style w:type="paragraph" w:styleId="5">
    <w:name w:val="footer"/>
    <w:basedOn w:val="1"/>
    <w:link w:val="12"/>
    <w:qFormat/>
    <w:uiPriority w:val="99"/>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10">
    <w:name w:val="page number"/>
    <w:qFormat/>
    <w:uiPriority w:val="0"/>
  </w:style>
  <w:style w:type="character" w:customStyle="1" w:styleId="11">
    <w:name w:val="正文文本 字符"/>
    <w:link w:val="3"/>
    <w:qFormat/>
    <w:uiPriority w:val="0"/>
    <w:rPr>
      <w:rFonts w:eastAsia="宋体"/>
      <w:kern w:val="2"/>
      <w:sz w:val="32"/>
      <w:szCs w:val="24"/>
      <w:lang w:val="en-US" w:eastAsia="zh-CN" w:bidi="ar-SA"/>
    </w:rPr>
  </w:style>
  <w:style w:type="character" w:customStyle="1" w:styleId="12">
    <w:name w:val="页脚 字符"/>
    <w:link w:val="5"/>
    <w:qFormat/>
    <w:uiPriority w:val="99"/>
    <w:rPr>
      <w:kern w:val="2"/>
      <w:sz w:val="18"/>
      <w:szCs w:val="18"/>
    </w:rPr>
  </w:style>
  <w:style w:type="paragraph" w:customStyle="1" w:styleId="13">
    <w:name w:val="_Style 19"/>
    <w:basedOn w:val="2"/>
    <w:qFormat/>
    <w:uiPriority w:val="0"/>
    <w:rPr>
      <w:rFonts w:ascii="Tahoma" w:hAnsi="Tahoma"/>
      <w:sz w:val="24"/>
    </w:rPr>
  </w:style>
  <w:style w:type="paragraph" w:styleId="14">
    <w:name w:val="List Paragraph"/>
    <w:basedOn w:val="1"/>
    <w:qFormat/>
    <w:uiPriority w:val="34"/>
    <w:pPr>
      <w:ind w:firstLine="420" w:firstLineChars="200"/>
    </w:pPr>
  </w:style>
  <w:style w:type="paragraph" w:customStyle="1" w:styleId="15">
    <w:name w:val="Char Char Char2 Char"/>
    <w:basedOn w:val="2"/>
    <w:qFormat/>
    <w:uiPriority w:val="0"/>
    <w:rPr>
      <w:rFonts w:ascii="Tahoma" w:hAnsi="Tahoma"/>
      <w:sz w:val="24"/>
    </w:rPr>
  </w:style>
  <w:style w:type="character" w:customStyle="1" w:styleId="16">
    <w:name w:val="font41"/>
    <w:basedOn w:val="9"/>
    <w:qFormat/>
    <w:uiPriority w:val="0"/>
    <w:rPr>
      <w:rFonts w:hint="default" w:ascii="Times New Roman" w:hAnsi="Times New Roman" w:cs="Times New Roman"/>
      <w:color w:val="000000"/>
      <w:sz w:val="24"/>
      <w:szCs w:val="24"/>
      <w:u w:val="none"/>
    </w:rPr>
  </w:style>
  <w:style w:type="character" w:customStyle="1" w:styleId="17">
    <w:name w:val="font11"/>
    <w:basedOn w:val="9"/>
    <w:qFormat/>
    <w:uiPriority w:val="0"/>
    <w:rPr>
      <w:rFonts w:hint="eastAsia" w:ascii="仿宋_GB2312" w:eastAsia="仿宋_GB2312" w:cs="仿宋_GB2312"/>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8</Pages>
  <Words>3353</Words>
  <Characters>3422</Characters>
  <Lines>24</Lines>
  <Paragraphs>6</Paragraphs>
  <TotalTime>2</TotalTime>
  <ScaleCrop>false</ScaleCrop>
  <LinksUpToDate>false</LinksUpToDate>
  <CharactersWithSpaces>3437</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2026-09-07T10:01:00Z</dcterms:created>
  <dc:creator>Lenovo</dc:creator>
  <cp:lastModifiedBy>舟山</cp:lastModifiedBy>
  <cp:lastPrinted>2026-09-04T09:12:00Z</cp:lastPrinted>
  <dcterms:modified xsi:type="dcterms:W3CDTF">2026-09-09T06:44:24Z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4B7968286EEE4C13A714CAE20D4B0E62_13</vt:lpwstr>
  </property>
  <property fmtid="{D5CDD505-2E9C-101B-9397-08002B2CF9AE}" pid="4" name="KSOTemplateDocerSaveRecord">
    <vt:lpwstr>eyJoZGlkIjoiZWEwZDBmZGNkMGNjMjJiM2RjZjcxYjIzMmVmNGMwMTIiLCJ1c2VySWQiOiIyNDk2NTUxMTIifQ==</vt:lpwstr>
  </property>
</Properties>
</file>